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9839A9" w14:textId="5D7B1318" w:rsidR="00827227" w:rsidRDefault="00827227" w:rsidP="00827227">
      <w:pPr>
        <w:rPr>
          <w:rFonts w:ascii="Times New Roman" w:eastAsia="Times New Roman" w:hAnsi="Times New Roman" w:cs="Times New Roman"/>
          <w:sz w:val="24"/>
          <w:szCs w:val="24"/>
          <w:lang w:eastAsia="fr-FR"/>
        </w:rPr>
      </w:pPr>
      <w:bookmarkStart w:id="0" w:name="_GoBack"/>
      <w:bookmarkEnd w:id="0"/>
    </w:p>
    <w:p w14:paraId="6AD7FC08" w14:textId="77777777" w:rsidR="00C25F37" w:rsidRDefault="00C25F37" w:rsidP="000E1842">
      <w:pPr>
        <w:jc w:val="center"/>
        <w:rPr>
          <w:rFonts w:ascii="Times New Roman" w:hAnsi="Times New Roman" w:cs="Times New Roman"/>
          <w:sz w:val="24"/>
          <w:szCs w:val="24"/>
          <w:lang w:val="en-US"/>
        </w:rPr>
      </w:pPr>
    </w:p>
    <w:p w14:paraId="7AECBEBB" w14:textId="77777777" w:rsidR="00C25F37" w:rsidRDefault="00C25F37" w:rsidP="000E1842">
      <w:pPr>
        <w:jc w:val="center"/>
        <w:rPr>
          <w:rFonts w:ascii="Times New Roman" w:hAnsi="Times New Roman" w:cs="Times New Roman"/>
          <w:sz w:val="24"/>
          <w:szCs w:val="24"/>
          <w:lang w:val="en-US"/>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2069D21C" w14:textId="77777777" w:rsidR="006C186F"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6C186F">
        <w:rPr>
          <w:rFonts w:ascii="Times New Roman" w:hAnsi="Times New Roman" w:cs="Times New Roman"/>
          <w:sz w:val="28"/>
          <w:szCs w:val="28"/>
        </w:rPr>
        <w:t xml:space="preserve"> чрез</w:t>
      </w:r>
    </w:p>
    <w:p w14:paraId="1D57F439" w14:textId="16AE46A7" w:rsidR="00C25F37" w:rsidRDefault="00B94C19" w:rsidP="006C1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5901B148" w:rsidR="00C25F37" w:rsidRPr="00B94C19" w:rsidRDefault="00C25F37" w:rsidP="00C25F37">
      <w:pPr>
        <w:spacing w:after="360"/>
        <w:jc w:val="center"/>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BG05M9OP001-</w:t>
      </w:r>
      <w:r w:rsidR="00521962">
        <w:rPr>
          <w:rFonts w:ascii="Times New Roman" w:hAnsi="Times New Roman" w:cs="Times New Roman"/>
          <w:b/>
          <w:color w:val="000000"/>
          <w:spacing w:val="1"/>
          <w:sz w:val="28"/>
          <w:szCs w:val="28"/>
          <w:lang w:val="en-US"/>
        </w:rPr>
        <w:t>1.053</w:t>
      </w:r>
      <w:r w:rsidR="00521962">
        <w:rPr>
          <w:rFonts w:ascii="Times New Roman" w:hAnsi="Times New Roman" w:cs="Times New Roman"/>
          <w:b/>
          <w:color w:val="000000"/>
          <w:spacing w:val="1"/>
          <w:sz w:val="28"/>
          <w:szCs w:val="28"/>
        </w:rPr>
        <w:t xml:space="preserve"> </w:t>
      </w:r>
      <w:r w:rsidR="00912EBE" w:rsidRPr="00912EBE">
        <w:rPr>
          <w:rFonts w:ascii="Times New Roman" w:hAnsi="Times New Roman" w:cs="Times New Roman"/>
          <w:b/>
          <w:color w:val="000000"/>
          <w:spacing w:val="1"/>
          <w:sz w:val="28"/>
          <w:szCs w:val="28"/>
        </w:rPr>
        <w:t xml:space="preserve">МИГ ПОМОРИЕ </w:t>
      </w:r>
      <w:r w:rsidR="00983945">
        <w:rPr>
          <w:rFonts w:ascii="Times New Roman" w:hAnsi="Times New Roman" w:cs="Times New Roman"/>
          <w:b/>
          <w:color w:val="000000"/>
          <w:spacing w:val="1"/>
          <w:sz w:val="28"/>
          <w:szCs w:val="28"/>
        </w:rPr>
        <w:t>– МЯРКА 8:</w:t>
      </w:r>
      <w:r w:rsidR="00912EBE" w:rsidRPr="00912EBE">
        <w:rPr>
          <w:rFonts w:ascii="Times New Roman" w:hAnsi="Times New Roman" w:cs="Times New Roman"/>
          <w:b/>
          <w:color w:val="000000"/>
          <w:spacing w:val="1"/>
          <w:sz w:val="28"/>
          <w:szCs w:val="28"/>
        </w:rPr>
        <w:t xml:space="preserve"> </w:t>
      </w:r>
      <w:r w:rsidR="00521962">
        <w:rPr>
          <w:rFonts w:ascii="Times New Roman" w:hAnsi="Times New Roman" w:cs="Times New Roman"/>
          <w:b/>
          <w:color w:val="000000"/>
          <w:spacing w:val="1"/>
          <w:sz w:val="28"/>
          <w:szCs w:val="28"/>
          <w:lang w:val="en-US"/>
        </w:rPr>
        <w:t>“</w:t>
      </w:r>
      <w:r w:rsidR="00912EBE" w:rsidRPr="00912EBE">
        <w:rPr>
          <w:rFonts w:ascii="Times New Roman" w:hAnsi="Times New Roman" w:cs="Times New Roman"/>
          <w:b/>
          <w:color w:val="000000"/>
          <w:spacing w:val="1"/>
          <w:sz w:val="28"/>
          <w:szCs w:val="28"/>
        </w:rPr>
        <w:t>ПОДОБРЯВАНЕ НА РАВНИЯ ДОСТЪП ДО ВЪЗМОЖНОСТИТЕ ЗА УЧЕНЕ ПРЕЗ ЦЕЛИЯ ЖИВОТ ЗА ВСИЧКИ ВЪЗРАСТОВИ ГРУПИ</w:t>
      </w:r>
      <w:r w:rsidRPr="0000565C">
        <w:rPr>
          <w:rFonts w:ascii="Times New Roman" w:hAnsi="Times New Roman" w:cs="Times New Roman"/>
          <w:b/>
          <w:color w:val="000000"/>
          <w:spacing w:val="1"/>
          <w:sz w:val="28"/>
          <w:szCs w:val="28"/>
        </w:rPr>
        <w:t>“</w:t>
      </w:r>
      <w:r w:rsidRPr="00521962">
        <w:rPr>
          <w:rFonts w:ascii="Times New Roman" w:hAnsi="Times New Roman" w:cs="Times New Roman"/>
          <w:b/>
          <w:color w:val="000000"/>
          <w:spacing w:val="1"/>
          <w:sz w:val="28"/>
          <w:szCs w:val="28"/>
        </w:rPr>
        <w:t xml:space="preserve"> </w:t>
      </w:r>
    </w:p>
    <w:tbl>
      <w:tblPr>
        <w:tblStyle w:val="a5"/>
        <w:tblW w:w="0" w:type="auto"/>
        <w:tblLook w:val="04A0" w:firstRow="1" w:lastRow="0" w:firstColumn="1" w:lastColumn="0" w:noHBand="0" w:noVBand="1"/>
      </w:tblPr>
      <w:tblGrid>
        <w:gridCol w:w="4530"/>
        <w:gridCol w:w="4532"/>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30A35CBD" w14:textId="063D17B7"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06298F96"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03762791"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6D89062"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1D27EDF9" w14:textId="77777777" w:rsidR="00DE6E51" w:rsidRDefault="00C25F37"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FE1324A" w14:textId="77777777" w:rsidR="00DE6E51" w:rsidRDefault="00C25F37" w:rsidP="007818AA">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1D5309A4" w14:textId="77777777" w:rsidR="009A7C1B" w:rsidRDefault="009A7C1B" w:rsidP="007818AA">
      <w:pPr>
        <w:pStyle w:val="ad"/>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15A59A5E" w14:textId="77777777" w:rsidR="00B95BED" w:rsidRDefault="002D44BD"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sidRPr="00521962">
        <w:rPr>
          <w:rFonts w:ascii="Times New Roman" w:eastAsia="Times New Roman" w:hAnsi="Times New Roman" w:cs="Times New Roman"/>
          <w:i/>
          <w:sz w:val="24"/>
          <w:szCs w:val="24"/>
          <w:lang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0D1FCE0F" w14:textId="77777777" w:rsidR="00C25F37" w:rsidRDefault="00C25F37" w:rsidP="00BC1E0C">
      <w:pPr>
        <w:pStyle w:val="ad"/>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830DAFC" w14:textId="77777777"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3E48D119" w14:textId="0AAF88B0" w:rsidR="00B94C19" w:rsidRPr="004F73B1" w:rsidRDefault="00194E9A" w:rsidP="00C33C17">
      <w:pPr>
        <w:spacing w:before="80" w:after="360" w:line="360" w:lineRule="auto"/>
        <w:ind w:left="708"/>
        <w:jc w:val="both"/>
        <w:rPr>
          <w:rFonts w:ascii="Times New Roman" w:eastAsia="Times New Roman" w:hAnsi="Times New Roman" w:cs="Times New Roman"/>
          <w:sz w:val="24"/>
          <w:szCs w:val="24"/>
          <w:lang w:eastAsia="fr-FR"/>
        </w:rPr>
      </w:pPr>
      <w:r w:rsidRPr="00194E9A">
        <w:rPr>
          <w:rFonts w:ascii="Times New Roman" w:eastAsia="Times New Roman" w:hAnsi="Times New Roman" w:cs="Times New Roman"/>
          <w:sz w:val="24"/>
          <w:szCs w:val="24"/>
          <w:lang w:eastAsia="fr-FR"/>
        </w:rPr>
        <w:t>………………… (адрес и ЕИК), представлявано от ………… в качеството на лице представляващо МИГ</w:t>
      </w:r>
      <w:r>
        <w:rPr>
          <w:rFonts w:ascii="Times New Roman" w:eastAsia="Times New Roman" w:hAnsi="Times New Roman" w:cs="Times New Roman"/>
          <w:sz w:val="24"/>
          <w:szCs w:val="24"/>
          <w:lang w:eastAsia="fr-FR"/>
        </w:rPr>
        <w:t xml:space="preserve"> Поморие </w:t>
      </w:r>
      <w:r w:rsidRPr="00194E9A">
        <w:rPr>
          <w:rFonts w:ascii="Times New Roman" w:eastAsia="Times New Roman" w:hAnsi="Times New Roman" w:cs="Times New Roman"/>
          <w:sz w:val="24"/>
          <w:szCs w:val="24"/>
          <w:lang w:eastAsia="fr-FR"/>
        </w:rPr>
        <w:t>наричан по-нататък МИГ/</w:t>
      </w:r>
    </w:p>
    <w:p w14:paraId="0A8A731E" w14:textId="77777777"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7C6F00DD" w14:textId="210C5B96" w:rsidR="00C61651" w:rsidRPr="00DE6E51" w:rsidRDefault="009A7C1B" w:rsidP="007818AA">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D64E42">
        <w:rPr>
          <w:rFonts w:ascii="Times New Roman" w:hAnsi="Times New Roman" w:cs="Times New Roman"/>
          <w:sz w:val="24"/>
          <w:szCs w:val="24"/>
        </w:rPr>
        <w:t xml:space="preserve"> </w:t>
      </w:r>
      <w:r w:rsidR="00827227" w:rsidRPr="00DE6E51">
        <w:rPr>
          <w:rFonts w:ascii="Times New Roman" w:eastAsia="Times New Roman" w:hAnsi="Times New Roman" w:cs="Times New Roman"/>
          <w:sz w:val="24"/>
          <w:szCs w:val="24"/>
          <w:lang w:eastAsia="fr-FR"/>
        </w:rPr>
        <w:t xml:space="preserve"> </w:t>
      </w:r>
      <w:r w:rsidR="00B94C19" w:rsidRPr="00DE6E51">
        <w:rPr>
          <w:rFonts w:ascii="Times New Roman" w:eastAsia="Times New Roman" w:hAnsi="Times New Roman" w:cs="Times New Roman"/>
          <w:sz w:val="24"/>
          <w:szCs w:val="24"/>
          <w:lang w:eastAsia="fr-FR"/>
        </w:rPr>
        <w:t>(</w:t>
      </w:r>
      <w:r w:rsidR="00B94C19"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00B94C19" w:rsidRPr="00DE6E51">
        <w:rPr>
          <w:rFonts w:ascii="Times New Roman" w:eastAsia="Times New Roman" w:hAnsi="Times New Roman" w:cs="Times New Roman"/>
          <w:sz w:val="24"/>
          <w:szCs w:val="24"/>
          <w:lang w:eastAsia="fr-FR"/>
        </w:rPr>
        <w:t>)</w:t>
      </w:r>
      <w:r w:rsidR="006C6541">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DE6E51">
        <w:rPr>
          <w:rFonts w:ascii="Times New Roman" w:eastAsia="Times New Roman" w:hAnsi="Times New Roman" w:cs="Times New Roman"/>
          <w:sz w:val="24"/>
          <w:szCs w:val="24"/>
          <w:lang w:eastAsia="fr-FR"/>
        </w:rPr>
        <w:t xml:space="preserve"> 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49811C9D"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79339676" w14:textId="72D718A4"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4B202E7E"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2CA47AE8" w14:textId="23AC1CFE" w:rsidR="00C61651"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1CE0FA51" w14:textId="51C70549" w:rsidR="007B15C3" w:rsidRDefault="007B15C3" w:rsidP="007B15C3">
      <w:pPr>
        <w:pStyle w:val="ad"/>
        <w:numPr>
          <w:ilvl w:val="0"/>
          <w:numId w:val="13"/>
        </w:numPr>
        <w:spacing w:before="80" w:after="240" w:line="240" w:lineRule="auto"/>
        <w:contextualSpacing w:val="0"/>
        <w:jc w:val="both"/>
        <w:rPr>
          <w:rFonts w:ascii="Times New Roman" w:eastAsia="Times New Roman" w:hAnsi="Times New Roman" w:cs="Times New Roman"/>
          <w:sz w:val="24"/>
          <w:szCs w:val="24"/>
          <w:lang w:eastAsia="fr-FR"/>
        </w:rPr>
      </w:pPr>
      <w:r w:rsidRPr="007B15C3">
        <w:rPr>
          <w:rFonts w:ascii="Times New Roman" w:eastAsia="Times New Roman" w:hAnsi="Times New Roman" w:cs="Times New Roman"/>
          <w:sz w:val="24"/>
          <w:szCs w:val="24"/>
          <w:lang w:eastAsia="fr-FR"/>
        </w:rPr>
        <w:tab/>
        <w:t xml:space="preserve">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(описват се посочените в </w:t>
      </w:r>
      <w:r w:rsidRPr="007B15C3">
        <w:rPr>
          <w:rFonts w:ascii="Times New Roman" w:eastAsia="Times New Roman" w:hAnsi="Times New Roman" w:cs="Times New Roman"/>
          <w:sz w:val="24"/>
          <w:szCs w:val="24"/>
          <w:lang w:eastAsia="fr-FR"/>
        </w:rPr>
        <w:lastRenderedPageBreak/>
        <w:t>проектобюджета дейности, допустимите разходи за тях и резултатите, които ще се постигнат с тяхното осъществяване).</w:t>
      </w:r>
    </w:p>
    <w:p w14:paraId="6796EF63" w14:textId="2987BA25" w:rsidR="007B15C3" w:rsidRDefault="007B15C3" w:rsidP="00983945">
      <w:pPr>
        <w:spacing w:after="240"/>
        <w:ind w:left="567" w:hanging="567"/>
        <w:jc w:val="both"/>
        <w:rPr>
          <w:rFonts w:ascii="Times New Roman" w:eastAsia="Times New Roman" w:hAnsi="Times New Roman" w:cs="Times New Roman"/>
          <w:sz w:val="24"/>
          <w:szCs w:val="24"/>
          <w:lang w:eastAsia="fr-FR"/>
        </w:rPr>
      </w:pPr>
    </w:p>
    <w:p w14:paraId="1C46D7C1" w14:textId="45D4C6C1"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1604B785"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E0130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1EA5C7CC" w14:textId="5238D5CB"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08D5114A" w14:textId="079116F4" w:rsidR="009C4CB8" w:rsidRPr="00EF440B" w:rsidRDefault="002C5E60" w:rsidP="00732A85">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9C349B" w:rsidRPr="009C349B">
        <w:rPr>
          <w:rFonts w:ascii="Times New Roman" w:eastAsia="Times New Roman" w:hAnsi="Times New Roman" w:cs="Times New Roman"/>
          <w:sz w:val="24"/>
          <w:szCs w:val="24"/>
          <w:lang w:val="en-US" w:eastAsia="fr-FR"/>
        </w:rPr>
        <w:t>BG05M9OP001-1.053 МИГ ПОМОРИЕ – МЯРКА 8: “ПОДОБРЯВАНЕ НА РАВНИЯ ДОСТЪП ДО ВЪЗМОЖНОСТИТЕ ЗА УЧЕНЕ ПРЕЗ ЦЕЛИЯ ЖИВОТ ЗА ВСИЧКИ ВЪЗРАСТОВИ ГРУПИ“</w:t>
      </w:r>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8530CE">
        <w:rPr>
          <w:rFonts w:ascii="Times New Roman" w:hAnsi="Times New Roman" w:cs="Times New Roman"/>
          <w:bCs/>
          <w:sz w:val="24"/>
          <w:szCs w:val="24"/>
        </w:rPr>
        <w:t>процедур</w:t>
      </w:r>
      <w:r w:rsidR="0040042A">
        <w:rPr>
          <w:rFonts w:ascii="Times New Roman" w:hAnsi="Times New Roman" w:cs="Times New Roman"/>
          <w:bCs/>
          <w:sz w:val="24"/>
          <w:szCs w:val="24"/>
        </w:rPr>
        <w:t>и</w:t>
      </w:r>
      <w:r w:rsidR="008530CE">
        <w:rPr>
          <w:rFonts w:ascii="Times New Roman" w:hAnsi="Times New Roman" w:cs="Times New Roman"/>
          <w:bCs/>
          <w:sz w:val="24"/>
          <w:szCs w:val="24"/>
        </w:rPr>
        <w:t xml:space="preserve"> </w:t>
      </w:r>
      <w:r w:rsidR="0040042A">
        <w:rPr>
          <w:rFonts w:ascii="Times New Roman" w:hAnsi="Times New Roman" w:cs="Times New Roman"/>
          <w:bCs/>
          <w:sz w:val="24"/>
          <w:szCs w:val="24"/>
        </w:rPr>
        <w:t>по ВОМР с финансовата подкрепа на ОП РЧР 2014-2020</w:t>
      </w:r>
      <w:r w:rsidR="00534B50">
        <w:rPr>
          <w:rFonts w:ascii="Times New Roman" w:eastAsia="Times New Roman" w:hAnsi="Times New Roman" w:cs="Times New Roman"/>
          <w:sz w:val="24"/>
          <w:szCs w:val="24"/>
          <w:lang w:eastAsia="fr-FR"/>
        </w:rPr>
        <w:t>, 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710507FD" w14:textId="77777777"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69107962"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380D83D6"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79877D68" w14:textId="4246BB1C"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BF57F6">
        <w:rPr>
          <w:rFonts w:ascii="Times New Roman" w:eastAsia="Times New Roman" w:hAnsi="Times New Roman" w:cs="Times New Roman"/>
          <w:sz w:val="24"/>
          <w:szCs w:val="24"/>
        </w:rPr>
        <w:t xml:space="preserve"> </w:t>
      </w:r>
      <w:r w:rsidR="00BF57F6" w:rsidRPr="00BF57F6">
        <w:rPr>
          <w:rFonts w:ascii="Times New Roman" w:eastAsia="Times New Roman" w:hAnsi="Times New Roman" w:cs="Times New Roman"/>
          <w:sz w:val="24"/>
          <w:szCs w:val="24"/>
        </w:rPr>
        <w:t xml:space="preserve">Финансирането се предоставя само за дейности, допустими за финансиране, съгласно чл.1 от Регламент (ЕС) </w:t>
      </w:r>
      <w:r w:rsidR="00BF57F6">
        <w:rPr>
          <w:rFonts w:ascii="Times New Roman" w:eastAsia="Times New Roman" w:hAnsi="Times New Roman" w:cs="Times New Roman"/>
          <w:sz w:val="24"/>
          <w:szCs w:val="24"/>
        </w:rPr>
        <w:t>№</w:t>
      </w:r>
      <w:r w:rsidR="00BF57F6" w:rsidRPr="00BF57F6">
        <w:rPr>
          <w:rFonts w:ascii="Times New Roman" w:eastAsia="Times New Roman" w:hAnsi="Times New Roman" w:cs="Times New Roman"/>
          <w:sz w:val="24"/>
          <w:szCs w:val="24"/>
        </w:rPr>
        <w:t xml:space="preserve"> 1407/2013.</w:t>
      </w:r>
    </w:p>
    <w:p w14:paraId="5DE308B9"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sidRPr="00521962">
        <w:rPr>
          <w:rFonts w:ascii="Times New Roman" w:eastAsia="Times New Roman" w:hAnsi="Times New Roman" w:cs="Times New Roman"/>
          <w:sz w:val="24"/>
          <w:szCs w:val="24"/>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521962">
        <w:rPr>
          <w:rFonts w:ascii="Times New Roman" w:eastAsia="Times New Roman" w:hAnsi="Times New Roman" w:cs="Times New Roman"/>
          <w:sz w:val="24"/>
          <w:szCs w:val="24"/>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521962">
        <w:rPr>
          <w:rFonts w:ascii="Times New Roman" w:eastAsia="Times New Roman" w:hAnsi="Times New Roman" w:cs="Times New Roman"/>
          <w:sz w:val="24"/>
          <w:szCs w:val="24"/>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sidRPr="00521962">
        <w:rPr>
          <w:rFonts w:ascii="Times New Roman" w:eastAsia="Times New Roman" w:hAnsi="Times New Roman" w:cs="Times New Roman"/>
          <w:sz w:val="24"/>
          <w:szCs w:val="24"/>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9D28A7B" w14:textId="0E2441C8"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lastRenderedPageBreak/>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BF57F6">
        <w:rPr>
          <w:rFonts w:ascii="Times New Roman" w:eastAsia="Times New Roman" w:hAnsi="Times New Roman" w:cs="Times New Roman"/>
          <w:sz w:val="24"/>
          <w:szCs w:val="24"/>
        </w:rPr>
        <w:t xml:space="preserve"> </w:t>
      </w:r>
      <w:r w:rsidR="00BF57F6" w:rsidRPr="00BF57F6">
        <w:rPr>
          <w:rFonts w:ascii="Times New Roman" w:eastAsia="Times New Roman" w:hAnsi="Times New Roman" w:cs="Times New Roman"/>
          <w:sz w:val="24"/>
          <w:szCs w:val="24"/>
        </w:rPr>
        <w:t xml:space="preserve">и съответния приложим праг по чл. 3, т.2 от Регламент (ЕС) </w:t>
      </w:r>
      <w:r w:rsidR="00BF57F6">
        <w:rPr>
          <w:rFonts w:ascii="Times New Roman" w:eastAsia="Times New Roman" w:hAnsi="Times New Roman" w:cs="Times New Roman"/>
          <w:sz w:val="24"/>
          <w:szCs w:val="24"/>
        </w:rPr>
        <w:t>3</w:t>
      </w:r>
      <w:r w:rsidR="00BF57F6" w:rsidRPr="00BF57F6">
        <w:rPr>
          <w:rFonts w:ascii="Times New Roman" w:eastAsia="Times New Roman" w:hAnsi="Times New Roman" w:cs="Times New Roman"/>
          <w:sz w:val="24"/>
          <w:szCs w:val="24"/>
        </w:rPr>
        <w:t xml:space="preserve"> 1407/2013 за „едно и също предприятие“ по смисъла на чл. 2, т. 2 от Регламента.</w:t>
      </w:r>
    </w:p>
    <w:p w14:paraId="4D177264" w14:textId="63EDE71A"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r w:rsidR="00171E61" w:rsidRPr="00521962">
        <w:rPr>
          <w:rFonts w:ascii="Times New Roman" w:hAnsi="Times New Roman" w:cs="Times New Roman"/>
          <w:sz w:val="24"/>
          <w:szCs w:val="24"/>
        </w:rPr>
        <w:t xml:space="preserve"> - </w:t>
      </w:r>
      <w:r w:rsidR="00171E61">
        <w:rPr>
          <w:rFonts w:ascii="Times New Roman" w:hAnsi="Times New Roman" w:cs="Times New Roman"/>
          <w:sz w:val="24"/>
          <w:szCs w:val="24"/>
        </w:rPr>
        <w:t>НЕПРИЛОЖИМО</w:t>
      </w:r>
      <w:r w:rsidR="00AF46DB" w:rsidRPr="00AF46DB">
        <w:rPr>
          <w:rFonts w:ascii="Times New Roman" w:hAnsi="Times New Roman" w:cs="Times New Roman"/>
          <w:sz w:val="24"/>
          <w:szCs w:val="24"/>
        </w:rPr>
        <w:t>.</w:t>
      </w:r>
    </w:p>
    <w:p w14:paraId="178C3AC6"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9B78C9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521962">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5C915DFF" w14:textId="77777777" w:rsidR="00BF57F6" w:rsidRPr="00BF57F6" w:rsidRDefault="00AC2470" w:rsidP="00BF57F6">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r w:rsidR="00A8286C" w:rsidRPr="00A8286C">
        <w:rPr>
          <w:rFonts w:ascii="Times New Roman" w:eastAsia="Times New Roman" w:hAnsi="Times New Roman" w:cs="Times New Roman"/>
          <w:sz w:val="24"/>
          <w:szCs w:val="24"/>
        </w:rPr>
        <w:tab/>
        <w:t xml:space="preserve">Управляващият орган </w:t>
      </w:r>
      <w:r w:rsidR="00E629F4">
        <w:rPr>
          <w:rFonts w:ascii="Times New Roman" w:eastAsia="Times New Roman" w:hAnsi="Times New Roman" w:cs="Times New Roman"/>
          <w:sz w:val="24"/>
          <w:szCs w:val="24"/>
        </w:rPr>
        <w:t>извършва</w:t>
      </w:r>
      <w:r w:rsidR="00A8286C" w:rsidRPr="00A8286C">
        <w:rPr>
          <w:rFonts w:ascii="Times New Roman" w:eastAsia="Times New Roman" w:hAnsi="Times New Roman" w:cs="Times New Roman"/>
          <w:sz w:val="24"/>
          <w:szCs w:val="24"/>
        </w:rPr>
        <w:t xml:space="preserve"> междинни и окончателни плащания </w:t>
      </w:r>
      <w:r w:rsidR="00BF57F6" w:rsidRPr="00BF57F6">
        <w:rPr>
          <w:rFonts w:ascii="Times New Roman" w:eastAsia="Times New Roman" w:hAnsi="Times New Roman" w:cs="Times New Roman"/>
          <w:sz w:val="24"/>
          <w:szCs w:val="24"/>
        </w:rPr>
        <w:t>въз основа на искане на бенефициента. Предоставянето на безвъзмездна финансова помощ се извършва под формата на:</w:t>
      </w:r>
    </w:p>
    <w:p w14:paraId="20DF99C5" w14:textId="78CE8D0B" w:rsidR="00BF57F6" w:rsidRPr="00BF57F6" w:rsidRDefault="00BF57F6" w:rsidP="00BF57F6">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BF57F6">
        <w:rPr>
          <w:rFonts w:ascii="Times New Roman" w:eastAsia="Times New Roman" w:hAnsi="Times New Roman" w:cs="Times New Roman"/>
          <w:sz w:val="24"/>
          <w:szCs w:val="24"/>
        </w:rPr>
        <w:t>3.7.</w:t>
      </w:r>
      <w:r w:rsidR="00A27FAD">
        <w:rPr>
          <w:rFonts w:ascii="Times New Roman" w:eastAsia="Times New Roman" w:hAnsi="Times New Roman" w:cs="Times New Roman"/>
          <w:sz w:val="24"/>
          <w:szCs w:val="24"/>
        </w:rPr>
        <w:t>1</w:t>
      </w:r>
      <w:r w:rsidRPr="00BF57F6">
        <w:rPr>
          <w:rFonts w:ascii="Times New Roman" w:eastAsia="Times New Roman" w:hAnsi="Times New Roman" w:cs="Times New Roman"/>
          <w:sz w:val="24"/>
          <w:szCs w:val="24"/>
        </w:rPr>
        <w:t xml:space="preserve">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3D1AE9EA" w14:textId="77777777" w:rsidR="00BF57F6" w:rsidRPr="00BF57F6" w:rsidRDefault="00BF57F6" w:rsidP="00BF57F6">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BF57F6">
        <w:rPr>
          <w:rFonts w:ascii="Times New Roman" w:eastAsia="Times New Roman" w:hAnsi="Times New Roman" w:cs="Times New Roman"/>
          <w:sz w:val="24"/>
          <w:szCs w:val="24"/>
        </w:rPr>
        <w:t>и/или</w:t>
      </w:r>
    </w:p>
    <w:p w14:paraId="1199E583" w14:textId="121663C5" w:rsidR="00A8286C" w:rsidRDefault="00BF57F6" w:rsidP="00BF57F6">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BF57F6">
        <w:rPr>
          <w:rFonts w:ascii="Times New Roman" w:eastAsia="Times New Roman" w:hAnsi="Times New Roman" w:cs="Times New Roman"/>
          <w:sz w:val="24"/>
          <w:szCs w:val="24"/>
        </w:rPr>
        <w:t>3.7.</w:t>
      </w:r>
      <w:r w:rsidR="00A27FAD">
        <w:rPr>
          <w:rFonts w:ascii="Times New Roman" w:eastAsia="Times New Roman" w:hAnsi="Times New Roman" w:cs="Times New Roman"/>
          <w:sz w:val="24"/>
          <w:szCs w:val="24"/>
        </w:rPr>
        <w:t>2</w:t>
      </w:r>
      <w:r w:rsidRPr="00BF57F6">
        <w:rPr>
          <w:rFonts w:ascii="Times New Roman" w:eastAsia="Times New Roman" w:hAnsi="Times New Roman" w:cs="Times New Roman"/>
          <w:sz w:val="24"/>
          <w:szCs w:val="24"/>
        </w:rPr>
        <w:t xml:space="preserve"> стандартна таблица на разходите за единица продукт.</w:t>
      </w:r>
    </w:p>
    <w:p w14:paraId="3AD2B304" w14:textId="77777777" w:rsidR="00366AB1" w:rsidRPr="00366AB1" w:rsidRDefault="00366AB1" w:rsidP="00366AB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366AB1">
        <w:rPr>
          <w:rFonts w:ascii="Times New Roman" w:eastAsia="Times New Roman" w:hAnsi="Times New Roman" w:cs="Times New Roman"/>
          <w:sz w:val="24"/>
          <w:szCs w:val="24"/>
        </w:rPr>
        <w:t>и/или</w:t>
      </w:r>
    </w:p>
    <w:p w14:paraId="2A805AE8" w14:textId="59059BD9" w:rsidR="00366AB1" w:rsidRPr="00A8286C" w:rsidRDefault="00366AB1" w:rsidP="00366AB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366AB1">
        <w:rPr>
          <w:rFonts w:ascii="Times New Roman" w:eastAsia="Times New Roman" w:hAnsi="Times New Roman" w:cs="Times New Roman"/>
          <w:sz w:val="24"/>
          <w:szCs w:val="24"/>
        </w:rPr>
        <w:t>3.7.</w:t>
      </w:r>
      <w:r w:rsidR="00A27FAD">
        <w:rPr>
          <w:rFonts w:ascii="Times New Roman" w:eastAsia="Times New Roman" w:hAnsi="Times New Roman" w:cs="Times New Roman"/>
          <w:sz w:val="24"/>
          <w:szCs w:val="24"/>
        </w:rPr>
        <w:t>3</w:t>
      </w:r>
      <w:r w:rsidRPr="00366AB1">
        <w:rPr>
          <w:rFonts w:ascii="Times New Roman" w:eastAsia="Times New Roman" w:hAnsi="Times New Roman" w:cs="Times New Roman"/>
          <w:sz w:val="24"/>
          <w:szCs w:val="24"/>
        </w:rPr>
        <w:t xml:space="preserve"> еднократни суми за отделните видове разходи, съгласно чл. 67, (1), т. (в) от Регламент 1303/2013 г. </w:t>
      </w:r>
    </w:p>
    <w:p w14:paraId="580685EA" w14:textId="1132C752"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чл.13, ал. 1, 3 и 4 от Закона за публичните финанси) и </w:t>
      </w:r>
      <w:r w:rsidR="00A8286C" w:rsidRPr="00A8286C">
        <w:rPr>
          <w:rFonts w:ascii="Times New Roman" w:eastAsia="Times New Roman" w:hAnsi="Times New Roman" w:cs="Times New Roman"/>
          <w:sz w:val="24"/>
          <w:szCs w:val="24"/>
          <w:lang w:eastAsia="bg-BG"/>
        </w:rPr>
        <w:t>при следните условия:</w:t>
      </w:r>
    </w:p>
    <w:p w14:paraId="0D4C4C1C" w14:textId="77777777"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1871A9BD" w14:textId="13336828" w:rsidR="00BF57F6" w:rsidRDefault="00A8286C" w:rsidP="00BF57F6">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 </w:t>
      </w:r>
      <w:r w:rsidR="00194E9A" w:rsidRPr="00194E9A">
        <w:rPr>
          <w:rFonts w:ascii="Times New Roman" w:eastAsia="Times New Roman" w:hAnsi="Times New Roman" w:cs="Times New Roman"/>
          <w:sz w:val="24"/>
          <w:szCs w:val="24"/>
        </w:rPr>
        <w:t xml:space="preserve">„Застраховка на гаранция за авансово плащане“ </w:t>
      </w:r>
      <w:r w:rsidRPr="00A8286C">
        <w:rPr>
          <w:rFonts w:ascii="Times New Roman" w:eastAsia="Times New Roman" w:hAnsi="Times New Roman" w:cs="Times New Roman"/>
          <w:sz w:val="24"/>
          <w:szCs w:val="24"/>
        </w:rPr>
        <w:t xml:space="preserve">или застраховка „Разни финансови загуби”, </w:t>
      </w:r>
      <w:r w:rsidR="00365296">
        <w:rPr>
          <w:rFonts w:ascii="Times New Roman" w:eastAsia="Times New Roman" w:hAnsi="Times New Roman" w:cs="Times New Roman"/>
          <w:sz w:val="24"/>
          <w:szCs w:val="24"/>
        </w:rPr>
        <w:t xml:space="preserve">или Запис на заповед (приложимо за общини/райони на общини),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бенефициента за изпълнение на договори по процедур</w:t>
      </w:r>
      <w:r w:rsidR="0040042A">
        <w:rPr>
          <w:rFonts w:ascii="Times New Roman" w:eastAsia="Times New Roman" w:hAnsi="Times New Roman" w:cs="Times New Roman"/>
          <w:sz w:val="24"/>
          <w:szCs w:val="24"/>
        </w:rPr>
        <w:t xml:space="preserve">и </w:t>
      </w:r>
      <w:r w:rsidRPr="00A8286C">
        <w:rPr>
          <w:rFonts w:ascii="Times New Roman" w:eastAsia="Times New Roman" w:hAnsi="Times New Roman" w:cs="Times New Roman"/>
          <w:sz w:val="24"/>
          <w:szCs w:val="24"/>
        </w:rPr>
        <w:t xml:space="preserve"> </w:t>
      </w:r>
      <w:r w:rsidR="0040042A">
        <w:rPr>
          <w:rFonts w:ascii="Times New Roman" w:hAnsi="Times New Roman" w:cs="Times New Roman"/>
          <w:bCs/>
          <w:sz w:val="24"/>
          <w:szCs w:val="24"/>
        </w:rPr>
        <w:t xml:space="preserve">по ВОМР с финансовата подкрепа на ОП РЧР 2014-2020 </w:t>
      </w:r>
      <w:r w:rsidRPr="00A8286C">
        <w:rPr>
          <w:rFonts w:ascii="Times New Roman" w:eastAsia="Times New Roman" w:hAnsi="Times New Roman" w:cs="Times New Roman"/>
          <w:sz w:val="24"/>
          <w:szCs w:val="24"/>
        </w:rPr>
        <w:t xml:space="preserve">за стойността на аванса, в полза на Управляващия орган, издадена от представляващия/ите или едно от представляващите Бенефициента лице/а, </w:t>
      </w:r>
      <w:r w:rsidRPr="00A8286C">
        <w:rPr>
          <w:rFonts w:ascii="Times New Roman" w:eastAsia="Times New Roman" w:hAnsi="Times New Roman" w:cs="Times New Roman"/>
          <w:sz w:val="24"/>
          <w:szCs w:val="24"/>
        </w:rPr>
        <w:lastRenderedPageBreak/>
        <w:t>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В случаите на обезпечение на авансовото плащане с банкова гаранция, </w:t>
      </w:r>
      <w:r w:rsidR="0040042A">
        <w:rPr>
          <w:rFonts w:ascii="Times New Roman" w:eastAsia="Times New Roman" w:hAnsi="Times New Roman" w:cs="Times New Roman"/>
          <w:sz w:val="24"/>
          <w:szCs w:val="24"/>
          <w:lang w:eastAsia="bg-BG"/>
        </w:rPr>
        <w:t>тя трябва да бъде безусловна и неотменима  в полза на Управляващия орган. С</w:t>
      </w:r>
      <w:r w:rsidRPr="00A8286C">
        <w:rPr>
          <w:rFonts w:ascii="Times New Roman" w:eastAsia="Times New Roman" w:hAnsi="Times New Roman" w:cs="Times New Roman"/>
          <w:sz w:val="24"/>
          <w:szCs w:val="24"/>
          <w:lang w:eastAsia="bg-BG"/>
        </w:rPr>
        <w:t xml:space="preserve">ъщата се освобождава </w:t>
      </w:r>
      <w:r w:rsidR="0040042A">
        <w:rPr>
          <w:rFonts w:ascii="Times New Roman" w:eastAsia="Times New Roman" w:hAnsi="Times New Roman" w:cs="Times New Roman"/>
          <w:sz w:val="24"/>
          <w:szCs w:val="24"/>
          <w:lang w:eastAsia="bg-BG"/>
        </w:rPr>
        <w:t>след</w:t>
      </w:r>
      <w:r w:rsidRPr="00A8286C">
        <w:rPr>
          <w:rFonts w:ascii="Times New Roman" w:eastAsia="Times New Roman" w:hAnsi="Times New Roman" w:cs="Times New Roman"/>
          <w:sz w:val="24"/>
          <w:szCs w:val="24"/>
          <w:lang w:eastAsia="bg-BG"/>
        </w:rPr>
        <w:t xml:space="preserve"> извършване на </w:t>
      </w:r>
      <w:r w:rsidR="0040042A">
        <w:rPr>
          <w:rFonts w:ascii="Times New Roman" w:eastAsia="Times New Roman" w:hAnsi="Times New Roman" w:cs="Times New Roman"/>
          <w:sz w:val="24"/>
          <w:szCs w:val="24"/>
          <w:lang w:eastAsia="bg-BG"/>
        </w:rPr>
        <w:t>финално плащане</w:t>
      </w:r>
      <w:r w:rsidRPr="00A8286C">
        <w:rPr>
          <w:rFonts w:ascii="Times New Roman" w:eastAsia="Times New Roman" w:hAnsi="Times New Roman" w:cs="Times New Roman"/>
          <w:sz w:val="24"/>
          <w:szCs w:val="24"/>
          <w:lang w:eastAsia="bg-BG"/>
        </w:rPr>
        <w:t xml:space="preserve"> по договора, за което Управляващият орган уведомява банката – издател при поискване от страна на бенефициента.</w:t>
      </w:r>
      <w:r w:rsidR="00BF57F6">
        <w:rPr>
          <w:rFonts w:ascii="Times New Roman" w:eastAsia="Times New Roman" w:hAnsi="Times New Roman" w:cs="Times New Roman"/>
          <w:sz w:val="24"/>
          <w:szCs w:val="24"/>
          <w:lang w:eastAsia="bg-BG"/>
        </w:rPr>
        <w:t xml:space="preserve"> </w:t>
      </w:r>
    </w:p>
    <w:p w14:paraId="491B9169" w14:textId="5B89777F" w:rsidR="00BF57F6" w:rsidRPr="00BF57F6" w:rsidRDefault="00BF57F6" w:rsidP="00BF57F6">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BF57F6">
        <w:rPr>
          <w:rFonts w:ascii="Times New Roman" w:eastAsia="Times New Roman" w:hAnsi="Times New Roman" w:cs="Times New Roman"/>
          <w:sz w:val="24"/>
          <w:szCs w:val="24"/>
          <w:lang w:eastAsia="bg-BG"/>
        </w:rPr>
        <w:t>или</w:t>
      </w:r>
    </w:p>
    <w:p w14:paraId="41A647C7" w14:textId="77777777" w:rsidR="00BF57F6" w:rsidRPr="00BF57F6" w:rsidRDefault="00BF57F6" w:rsidP="00BF57F6">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BF57F6">
        <w:rPr>
          <w:rFonts w:ascii="Times New Roman" w:eastAsia="Times New Roman" w:hAnsi="Times New Roman" w:cs="Times New Roman"/>
          <w:sz w:val="24"/>
          <w:szCs w:val="24"/>
          <w:lang w:eastAsia="bg-BG"/>
        </w:rPr>
        <w:t>3.8.2. 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43108971" w14:textId="1F3E917A" w:rsidR="00A8286C" w:rsidRPr="00A8286C" w:rsidRDefault="00BF57F6">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rPr>
      </w:pPr>
      <w:r w:rsidRPr="00BF57F6">
        <w:rPr>
          <w:rFonts w:ascii="Times New Roman" w:eastAsia="Times New Roman" w:hAnsi="Times New Roman" w:cs="Times New Roman"/>
          <w:sz w:val="24"/>
          <w:szCs w:val="24"/>
          <w:lang w:eastAsia="bg-BG"/>
        </w:rPr>
        <w:t>- валидна банкова гаранция, издадена от банка или друга финансова институция, регистрирана в Република България, 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следва да е безусловна и неотменима в полза на Управляващия орган с период на валидност до приключване на договорните отношения между Управляващия орган и Бенефициента, но не по-рано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w:t>
      </w:r>
    </w:p>
    <w:p w14:paraId="4E124F8B" w14:textId="73D797E4"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40042A">
        <w:rPr>
          <w:rFonts w:ascii="Times New Roman" w:eastAsia="Times New Roman" w:hAnsi="Times New Roman" w:cs="Times New Roman"/>
          <w:sz w:val="24"/>
          <w:szCs w:val="24"/>
          <w:lang w:eastAsia="bg-BG"/>
        </w:rPr>
        <w:t>22</w:t>
      </w:r>
      <w:r w:rsidR="00170486">
        <w:rPr>
          <w:rFonts w:ascii="Times New Roman" w:eastAsia="Times New Roman" w:hAnsi="Times New Roman" w:cs="Times New Roman"/>
          <w:sz w:val="24"/>
          <w:szCs w:val="24"/>
          <w:lang w:eastAsia="bg-BG"/>
        </w:rPr>
        <w:t>.0</w:t>
      </w:r>
      <w:r w:rsidR="0040042A">
        <w:rPr>
          <w:rFonts w:ascii="Times New Roman" w:eastAsia="Times New Roman" w:hAnsi="Times New Roman" w:cs="Times New Roman"/>
          <w:sz w:val="24"/>
          <w:szCs w:val="24"/>
          <w:lang w:eastAsia="bg-BG"/>
        </w:rPr>
        <w:t>5</w:t>
      </w:r>
      <w:r w:rsidR="00170486">
        <w:rPr>
          <w:rFonts w:ascii="Times New Roman" w:eastAsia="Times New Roman" w:hAnsi="Times New Roman" w:cs="Times New Roman"/>
          <w:sz w:val="24"/>
          <w:szCs w:val="24"/>
          <w:lang w:eastAsia="bg-BG"/>
        </w:rPr>
        <w:t>.201</w:t>
      </w:r>
      <w:r w:rsidR="0040042A">
        <w:rPr>
          <w:rFonts w:ascii="Times New Roman" w:eastAsia="Times New Roman" w:hAnsi="Times New Roman" w:cs="Times New Roman"/>
          <w:sz w:val="24"/>
          <w:szCs w:val="24"/>
          <w:lang w:eastAsia="bg-BG"/>
        </w:rPr>
        <w:t>8</w:t>
      </w:r>
      <w:r w:rsidR="00170486">
        <w:rPr>
          <w:rFonts w:ascii="Times New Roman" w:eastAsia="Times New Roman" w:hAnsi="Times New Roman" w:cs="Times New Roman"/>
          <w:sz w:val="24"/>
          <w:szCs w:val="24"/>
          <w:lang w:eastAsia="bg-BG"/>
        </w:rPr>
        <w:t>г.</w:t>
      </w:r>
    </w:p>
    <w:p w14:paraId="2F825BB8"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7055B9D"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63987198"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6A4AD312"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5390473C"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61099FA3" w14:textId="0CB1D57F"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1D5812E0" w14:textId="5F522529" w:rsidR="00366AB1" w:rsidRDefault="00366AB1" w:rsidP="00521962">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366AB1">
        <w:rPr>
          <w:rFonts w:ascii="Times New Roman" w:eastAsia="Times New Roman" w:hAnsi="Times New Roman" w:cs="Times New Roman"/>
          <w:sz w:val="24"/>
          <w:szCs w:val="24"/>
          <w:lang w:eastAsia="bg-BG"/>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резултати/крайни продукти от изпълнението на дейността, съгласно посоченото в чл. 2.2. Ако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p>
    <w:p w14:paraId="64579186" w14:textId="67985BC3" w:rsidR="00983945" w:rsidRDefault="00983945" w:rsidP="00983945">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983945">
        <w:rPr>
          <w:rFonts w:ascii="Times New Roman" w:eastAsia="Times New Roman" w:hAnsi="Times New Roman" w:cs="Times New Roman"/>
          <w:sz w:val="24"/>
          <w:szCs w:val="24"/>
          <w:lang w:eastAsia="bg-BG"/>
        </w:rPr>
        <w:t>В случаите, когато плащането на безвъзмездната помощ по чл. 2.1. от настоящия договор ще се извърши на няколко вноски (траншове), помощта и допустимите разходи се сконтират към техния размер към момента на предоставянето на помощта в съответствие с чл. 3, пар. 6 от Регламент (ЕС) № 1407/2013 на Комисията.</w:t>
      </w:r>
    </w:p>
    <w:p w14:paraId="5B053250" w14:textId="32492855" w:rsidR="00983945" w:rsidRPr="00847F42" w:rsidRDefault="00983945" w:rsidP="00983945">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983945">
        <w:rPr>
          <w:rFonts w:ascii="Times New Roman" w:eastAsia="Times New Roman" w:hAnsi="Times New Roman" w:cs="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493E1E0F"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6F140A3A" w14:textId="42E5F791"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 xml:space="preserve">„Микроданни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процедур</w:t>
      </w:r>
      <w:r w:rsidR="0048577D">
        <w:rPr>
          <w:rFonts w:ascii="Times New Roman" w:eastAsia="Times New Roman" w:hAnsi="Times New Roman" w:cs="Times New Roman"/>
          <w:sz w:val="24"/>
          <w:szCs w:val="24"/>
        </w:rPr>
        <w:t xml:space="preserve">и </w:t>
      </w:r>
      <w:r w:rsidR="0048577D">
        <w:rPr>
          <w:rFonts w:ascii="Times New Roman" w:hAnsi="Times New Roman" w:cs="Times New Roman"/>
          <w:bCs/>
          <w:sz w:val="24"/>
          <w:szCs w:val="24"/>
        </w:rPr>
        <w:t xml:space="preserve">по ВОМР с финансовата подкрепа на ОП РЧР 2014-2020. </w:t>
      </w:r>
      <w:r w:rsidR="00A8286C" w:rsidRPr="00A8286C">
        <w:rPr>
          <w:rFonts w:ascii="Times New Roman" w:eastAsia="Times New Roman" w:hAnsi="Times New Roman" w:cs="Times New Roman"/>
          <w:sz w:val="24"/>
          <w:szCs w:val="24"/>
        </w:rPr>
        <w:t xml:space="preserve"> </w:t>
      </w:r>
    </w:p>
    <w:p w14:paraId="776B6B82" w14:textId="31051BF1" w:rsidR="0048577D" w:rsidRPr="00521962" w:rsidRDefault="00DD71F8" w:rsidP="0048577D">
      <w:pPr>
        <w:autoSpaceDE w:val="0"/>
        <w:autoSpaceDN w:val="0"/>
        <w:adjustRightInd w:val="0"/>
        <w:spacing w:after="240" w:line="240" w:lineRule="auto"/>
        <w:ind w:left="567" w:hanging="567"/>
        <w:jc w:val="both"/>
        <w:rPr>
          <w:rFonts w:ascii="Times New Roman" w:hAnsi="Times New Roman" w:cs="Times New Roman"/>
          <w:bCs/>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по процедур</w:t>
      </w:r>
      <w:r w:rsidR="0048577D">
        <w:rPr>
          <w:rFonts w:ascii="Times New Roman" w:eastAsia="Times New Roman" w:hAnsi="Times New Roman" w:cs="Times New Roman"/>
          <w:sz w:val="24"/>
          <w:szCs w:val="24"/>
        </w:rPr>
        <w:t>и</w:t>
      </w:r>
      <w:r w:rsidR="0048577D">
        <w:rPr>
          <w:rFonts w:ascii="Times New Roman" w:hAnsi="Times New Roman" w:cs="Times New Roman"/>
          <w:bCs/>
          <w:sz w:val="24"/>
          <w:szCs w:val="24"/>
        </w:rPr>
        <w:t xml:space="preserve"> по ВОМР с финансовата подкрепа на ОП РЧР 2014-2020. </w:t>
      </w:r>
      <w:r w:rsidR="0048577D" w:rsidRPr="00A8286C">
        <w:rPr>
          <w:rFonts w:ascii="Times New Roman" w:eastAsia="Times New Roman" w:hAnsi="Times New Roman" w:cs="Times New Roman"/>
          <w:sz w:val="24"/>
          <w:szCs w:val="24"/>
        </w:rPr>
        <w:t xml:space="preserve"> </w:t>
      </w:r>
    </w:p>
    <w:p w14:paraId="1E600404" w14:textId="77777777" w:rsidR="00A8286C" w:rsidRPr="00A8286C" w:rsidRDefault="00DD71F8" w:rsidP="0048577D">
      <w:pPr>
        <w:autoSpaceDE w:val="0"/>
        <w:autoSpaceDN w:val="0"/>
        <w:adjustRightInd w:val="0"/>
        <w:spacing w:after="24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w:t>
      </w:r>
      <w:r w:rsidR="00A8286C" w:rsidRPr="00A8286C">
        <w:rPr>
          <w:rFonts w:ascii="Times New Roman" w:eastAsia="Times New Roman" w:hAnsi="Times New Roman" w:cs="Times New Roman"/>
          <w:sz w:val="24"/>
          <w:szCs w:val="20"/>
        </w:rPr>
        <w:lastRenderedPageBreak/>
        <w:t xml:space="preserve">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6486C5B9"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15C33D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693E36BE" w14:textId="77777777" w:rsidR="00A8286C" w:rsidRPr="00A8286C" w:rsidRDefault="00A8286C" w:rsidP="00B94C19">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6ED6A9D" w14:textId="77777777" w:rsidR="00A8286C" w:rsidRP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0D20135B"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2934986"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07786DC1" w14:textId="06D53924"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48577D">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.0</w:t>
      </w:r>
      <w:r w:rsidR="0048577D">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.201</w:t>
      </w:r>
      <w:r w:rsidR="0048577D">
        <w:rPr>
          <w:rFonts w:ascii="Times New Roman" w:eastAsia="Times New Roman" w:hAnsi="Times New Roman" w:cs="Times New Roman"/>
          <w:sz w:val="24"/>
          <w:szCs w:val="24"/>
        </w:rPr>
        <w:t>8</w:t>
      </w:r>
      <w:r w:rsidRPr="006A408A">
        <w:rPr>
          <w:rFonts w:ascii="Times New Roman" w:eastAsia="Times New Roman" w:hAnsi="Times New Roman" w:cs="Times New Roman"/>
          <w:sz w:val="24"/>
          <w:szCs w:val="24"/>
        </w:rPr>
        <w:t>г.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321730F3" w14:textId="6D047B4C"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5B73269C" w14:textId="3CFDE023" w:rsidR="0048577D" w:rsidRDefault="00A8286C" w:rsidP="003D7C08">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48577D">
        <w:rPr>
          <w:rFonts w:ascii="Times New Roman" w:eastAsia="Times New Roman" w:hAnsi="Times New Roman" w:cs="Times New Roman"/>
          <w:sz w:val="24"/>
          <w:szCs w:val="24"/>
        </w:rPr>
        <w:t xml:space="preserve">Ръководство </w:t>
      </w:r>
      <w:r w:rsidR="00FF50D6" w:rsidRPr="0048577D">
        <w:rPr>
          <w:rFonts w:ascii="Times New Roman" w:eastAsia="Times New Roman" w:hAnsi="Times New Roman" w:cs="Times New Roman"/>
          <w:sz w:val="24"/>
          <w:szCs w:val="24"/>
        </w:rPr>
        <w:t xml:space="preserve">за бенефициенти </w:t>
      </w:r>
      <w:r w:rsidRPr="0048577D">
        <w:rPr>
          <w:rFonts w:ascii="Times New Roman" w:eastAsia="Times New Roman" w:hAnsi="Times New Roman" w:cs="Times New Roman"/>
          <w:sz w:val="24"/>
          <w:szCs w:val="24"/>
        </w:rPr>
        <w:t xml:space="preserve">за изпълнение </w:t>
      </w:r>
      <w:r w:rsidR="00FF50D6" w:rsidRPr="0048577D">
        <w:rPr>
          <w:rFonts w:ascii="Times New Roman" w:eastAsia="Times New Roman" w:hAnsi="Times New Roman" w:cs="Times New Roman"/>
          <w:sz w:val="24"/>
          <w:szCs w:val="24"/>
        </w:rPr>
        <w:t>на договори</w:t>
      </w:r>
      <w:r w:rsidRPr="0048577D">
        <w:rPr>
          <w:rFonts w:ascii="Times New Roman" w:eastAsia="Times New Roman" w:hAnsi="Times New Roman" w:cs="Times New Roman"/>
          <w:sz w:val="24"/>
          <w:szCs w:val="24"/>
        </w:rPr>
        <w:t xml:space="preserve"> по процедур</w:t>
      </w:r>
      <w:r w:rsidR="0048577D" w:rsidRPr="0048577D">
        <w:rPr>
          <w:rFonts w:ascii="Times New Roman" w:eastAsia="Times New Roman" w:hAnsi="Times New Roman" w:cs="Times New Roman"/>
          <w:sz w:val="24"/>
          <w:szCs w:val="24"/>
        </w:rPr>
        <w:t xml:space="preserve">и </w:t>
      </w:r>
      <w:r w:rsidRPr="0048577D">
        <w:rPr>
          <w:rFonts w:ascii="Times New Roman" w:eastAsia="Times New Roman" w:hAnsi="Times New Roman" w:cs="Times New Roman"/>
          <w:sz w:val="24"/>
          <w:szCs w:val="24"/>
        </w:rPr>
        <w:t xml:space="preserve"> </w:t>
      </w:r>
      <w:r w:rsidR="0048577D">
        <w:rPr>
          <w:rFonts w:ascii="Times New Roman" w:hAnsi="Times New Roman" w:cs="Times New Roman"/>
          <w:bCs/>
          <w:sz w:val="24"/>
          <w:szCs w:val="24"/>
        </w:rPr>
        <w:t xml:space="preserve">по ВОМР с финансовата подкрепа на ОП РЧР 2014-2020. </w:t>
      </w:r>
      <w:r w:rsidR="0048577D" w:rsidRPr="00A8286C">
        <w:rPr>
          <w:rFonts w:ascii="Times New Roman" w:eastAsia="Times New Roman" w:hAnsi="Times New Roman" w:cs="Times New Roman"/>
          <w:sz w:val="24"/>
          <w:szCs w:val="24"/>
        </w:rPr>
        <w:t xml:space="preserve"> </w:t>
      </w:r>
    </w:p>
    <w:p w14:paraId="0A724597" w14:textId="77777777" w:rsidR="00A8286C" w:rsidRPr="0048577D" w:rsidRDefault="00A8286C" w:rsidP="003D7C08">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48577D">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5CE459DE" w14:textId="77777777"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3F587357" w14:textId="7001385A"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процедур</w:t>
      </w:r>
      <w:r w:rsidR="0048577D">
        <w:rPr>
          <w:rFonts w:ascii="Times New Roman" w:eastAsia="Times New Roman" w:hAnsi="Times New Roman" w:cs="Times New Roman"/>
          <w:sz w:val="24"/>
          <w:szCs w:val="24"/>
        </w:rPr>
        <w:t xml:space="preserve">и </w:t>
      </w:r>
      <w:r w:rsidR="0048577D">
        <w:rPr>
          <w:rFonts w:ascii="Times New Roman" w:hAnsi="Times New Roman" w:cs="Times New Roman"/>
          <w:bCs/>
          <w:sz w:val="24"/>
          <w:szCs w:val="24"/>
        </w:rPr>
        <w:t>по ВОМР с финансовата подкрепа на ОП РЧР 2014-2020</w:t>
      </w:r>
      <w:r w:rsidR="0048577D" w:rsidRPr="00A8286C">
        <w:rPr>
          <w:rFonts w:ascii="Times New Roman" w:eastAsia="Times New Roman" w:hAnsi="Times New Roman" w:cs="Times New Roman"/>
          <w:sz w:val="24"/>
          <w:szCs w:val="24"/>
        </w:rPr>
        <w:t xml:space="preserve"> </w:t>
      </w:r>
      <w:r w:rsidR="0067590E">
        <w:rPr>
          <w:rFonts w:ascii="Times New Roman" w:eastAsia="Times New Roman" w:hAnsi="Times New Roman" w:cs="Times New Roman"/>
          <w:sz w:val="24"/>
          <w:szCs w:val="24"/>
        </w:rPr>
        <w:t xml:space="preserve">и ги представя чрез ИСУН 2020.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6CFFE691" w14:textId="77777777" w:rsidR="00183436" w:rsidRDefault="00237EE7" w:rsidP="00183436">
      <w:pPr>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0"/>
        </w:rPr>
        <w:lastRenderedPageBreak/>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00183436" w:rsidRPr="00183436">
        <w:rPr>
          <w:rFonts w:ascii="Times New Roman" w:eastAsia="Times New Roman" w:hAnsi="Times New Roman" w:cs="Times New Roman"/>
          <w:sz w:val="24"/>
          <w:szCs w:val="24"/>
          <w:lang w:eastAsia="bg-BG"/>
        </w:rPr>
        <w:t>При наличие на последващи ангажименти, бенефициентът е длъжен да спазва и изпълнява условията и сроковете на</w:t>
      </w:r>
      <w:r w:rsidR="00183436" w:rsidRPr="00183436">
        <w:rPr>
          <w:rFonts w:ascii="Times New Roman" w:eastAsia="Times New Roman" w:hAnsi="Times New Roman" w:cs="Times New Roman"/>
          <w:sz w:val="24"/>
          <w:szCs w:val="24"/>
          <w:lang w:val="ru-RU" w:eastAsia="bg-BG"/>
        </w:rPr>
        <w:t xml:space="preserve"> </w:t>
      </w:r>
      <w:r w:rsidR="00183436" w:rsidRPr="00183436">
        <w:rPr>
          <w:rFonts w:ascii="Times New Roman" w:eastAsia="Times New Roman" w:hAnsi="Times New Roman" w:cs="Times New Roman"/>
          <w:sz w:val="24"/>
          <w:szCs w:val="24"/>
          <w:lang w:eastAsia="bg-BG"/>
        </w:rPr>
        <w:t xml:space="preserve">поетите в тази връзка отговорности. В случай на неизпълнение на поетите ангажименти за устойчивост и при условията на чл. 70, ал. 1 от ЗУСЕСИФ </w:t>
      </w:r>
      <w:r w:rsidR="00183436" w:rsidRPr="00183436">
        <w:rPr>
          <w:rFonts w:ascii="Times New Roman" w:eastAsia="Times New Roman" w:hAnsi="Times New Roman" w:cs="Times New Roman"/>
          <w:i/>
          <w:sz w:val="24"/>
          <w:szCs w:val="24"/>
          <w:lang w:eastAsia="bg-BG"/>
        </w:rPr>
        <w:t>/следва да се конкретизират/</w:t>
      </w:r>
      <w:r w:rsidR="00183436" w:rsidRPr="00183436">
        <w:rPr>
          <w:rFonts w:ascii="Times New Roman" w:eastAsia="Times New Roman" w:hAnsi="Times New Roman" w:cs="Times New Roman"/>
          <w:sz w:val="24"/>
          <w:szCs w:val="24"/>
          <w:lang w:eastAsia="bg-BG"/>
        </w:rPr>
        <w:t xml:space="preserve">, Управляващият орган налага ...% корекция върху верифицираните разходи. </w:t>
      </w:r>
      <w:r w:rsidR="00183436" w:rsidRPr="00183436">
        <w:rPr>
          <w:rFonts w:ascii="Times New Roman" w:eastAsia="Times New Roman" w:hAnsi="Times New Roman" w:cs="Times New Roman"/>
          <w:i/>
          <w:sz w:val="24"/>
          <w:szCs w:val="24"/>
          <w:lang w:eastAsia="bg-BG"/>
        </w:rPr>
        <w:t xml:space="preserve">/конкретизира се съгласно спецификата на съответната процедура / </w:t>
      </w:r>
      <w:r w:rsidR="00183436" w:rsidRPr="00183436">
        <w:rPr>
          <w:rFonts w:ascii="Times New Roman" w:eastAsia="Times New Roman" w:hAnsi="Times New Roman" w:cs="Times New Roman"/>
          <w:sz w:val="24"/>
          <w:szCs w:val="24"/>
          <w:lang w:eastAsia="bg-BG"/>
        </w:rPr>
        <w:t>- НЕПРИЛОЖИМО</w:t>
      </w:r>
    </w:p>
    <w:p w14:paraId="1E40AF3D" w14:textId="77777777" w:rsidR="00237EE7" w:rsidRPr="00521962" w:rsidRDefault="00237EE7" w:rsidP="00183436">
      <w:pPr>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328F84A3" w14:textId="72224F66"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sidRPr="00521962">
        <w:rPr>
          <w:rFonts w:ascii="Times New Roman" w:eastAsia="Times New Roman" w:hAnsi="Times New Roman" w:cs="Times New Roman"/>
          <w:sz w:val="24"/>
          <w:szCs w:val="24"/>
          <w:lang w:eastAsia="bg-BG"/>
        </w:rPr>
        <w:t xml:space="preserve">3.22 </w:t>
      </w:r>
      <w:r w:rsidRPr="00521962">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521962">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190F36"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46E03403" w14:textId="77777777" w:rsidR="00A516D9" w:rsidRDefault="00A516D9" w:rsidP="00D25ABA">
      <w:pPr>
        <w:spacing w:after="12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Общи задължения</w:t>
      </w:r>
    </w:p>
    <w:p w14:paraId="1E6CEFF8" w14:textId="77777777" w:rsidR="00521962" w:rsidRPr="00A516D9" w:rsidRDefault="00521962" w:rsidP="00D25ABA">
      <w:pPr>
        <w:spacing w:after="120" w:line="240" w:lineRule="auto"/>
        <w:ind w:left="567"/>
        <w:jc w:val="both"/>
        <w:rPr>
          <w:rFonts w:ascii="Times New Roman" w:eastAsia="Times New Roman" w:hAnsi="Times New Roman" w:cs="Times New Roman"/>
          <w:sz w:val="24"/>
          <w:szCs w:val="24"/>
          <w:lang w:eastAsia="bg-BG"/>
        </w:rPr>
      </w:pPr>
    </w:p>
    <w:p w14:paraId="223825E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F135F2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535DFD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7ED81270"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424857C3"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6C5B9E17" w14:textId="118348C1"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 xml:space="preserve">ПМС 160/1.07.2016 г. за определяне правилата за разглеждане и оценяване на </w:t>
      </w:r>
      <w:r w:rsidR="008C7590" w:rsidRPr="008C7590">
        <w:rPr>
          <w:rFonts w:ascii="Times New Roman" w:eastAsia="Times New Roman" w:hAnsi="Times New Roman" w:cs="Times New Roman"/>
          <w:sz w:val="24"/>
          <w:szCs w:val="24"/>
          <w:lang w:eastAsia="en-GB"/>
        </w:rPr>
        <w:lastRenderedPageBreak/>
        <w:t>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11CCD8C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7AA5576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3416259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2C76A9" w:rsidRPr="00521962">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2C76A9" w:rsidRPr="00521962">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521962">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521962">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521962">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521962">
        <w:rPr>
          <w:rFonts w:ascii="Times New Roman" w:eastAsia="Times New Roman" w:hAnsi="Times New Roman" w:cs="Times New Roman"/>
          <w:sz w:val="24"/>
          <w:szCs w:val="24"/>
          <w:lang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sidRPr="00521962">
        <w:rPr>
          <w:rFonts w:ascii="Times New Roman" w:eastAsia="Times New Roman" w:hAnsi="Times New Roman" w:cs="Times New Roman"/>
          <w:sz w:val="24"/>
          <w:szCs w:val="24"/>
          <w:lang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sidRPr="00521962">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1C34A8" w:rsidRPr="00521962">
        <w:rPr>
          <w:rFonts w:ascii="Times New Roman" w:eastAsia="Times New Roman" w:hAnsi="Times New Roman" w:cs="Times New Roman"/>
          <w:sz w:val="24"/>
          <w:szCs w:val="24"/>
          <w:lang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sidRPr="00521962">
        <w:rPr>
          <w:rFonts w:ascii="Times New Roman" w:eastAsia="Times New Roman" w:hAnsi="Times New Roman" w:cs="Times New Roman"/>
          <w:sz w:val="24"/>
          <w:szCs w:val="24"/>
          <w:lang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14:paraId="543EC985" w14:textId="77777777" w:rsidR="00521962" w:rsidRDefault="00521962" w:rsidP="00B94C19">
      <w:pPr>
        <w:tabs>
          <w:tab w:val="num" w:pos="-2127"/>
        </w:tabs>
        <w:spacing w:after="240" w:line="240" w:lineRule="auto"/>
        <w:ind w:left="567"/>
        <w:jc w:val="both"/>
        <w:rPr>
          <w:rFonts w:ascii="Times New Roman" w:eastAsia="Times New Roman" w:hAnsi="Times New Roman" w:cs="Times New Roman"/>
          <w:b/>
          <w:sz w:val="24"/>
          <w:szCs w:val="24"/>
          <w:lang w:eastAsia="en-GB"/>
        </w:rPr>
      </w:pPr>
    </w:p>
    <w:p w14:paraId="50ABF2EF"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5C910F0" w14:textId="5FFAFD75"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44544D63"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sidRPr="00521962">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14:paraId="57B6C4F7" w14:textId="218FBD29"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процедур</w:t>
      </w:r>
      <w:r w:rsidR="00937E7F">
        <w:rPr>
          <w:rFonts w:ascii="Times New Roman" w:eastAsia="Times New Roman" w:hAnsi="Times New Roman" w:cs="Times New Roman"/>
          <w:sz w:val="24"/>
          <w:szCs w:val="24"/>
          <w:lang w:eastAsia="en-GB"/>
        </w:rPr>
        <w:t>и</w:t>
      </w:r>
      <w:r w:rsidR="00937E7F" w:rsidRPr="00937E7F">
        <w:rPr>
          <w:rFonts w:ascii="Times New Roman" w:hAnsi="Times New Roman" w:cs="Times New Roman"/>
          <w:bCs/>
          <w:sz w:val="24"/>
          <w:szCs w:val="24"/>
        </w:rPr>
        <w:t xml:space="preserve"> </w:t>
      </w:r>
      <w:r w:rsidR="00937E7F">
        <w:rPr>
          <w:rFonts w:ascii="Times New Roman" w:hAnsi="Times New Roman" w:cs="Times New Roman"/>
          <w:bCs/>
          <w:sz w:val="24"/>
          <w:szCs w:val="24"/>
        </w:rPr>
        <w:t>по ВОМР с финансовата подкрепа на ОП РЧР 2014-2020</w:t>
      </w:r>
      <w:r w:rsidRPr="00A516D9">
        <w:rPr>
          <w:rFonts w:ascii="Times New Roman" w:eastAsia="Times New Roman" w:hAnsi="Times New Roman" w:cs="Times New Roman"/>
          <w:sz w:val="24"/>
          <w:szCs w:val="24"/>
          <w:lang w:eastAsia="en-GB"/>
        </w:rPr>
        <w:t>.</w:t>
      </w:r>
      <w:r w:rsidR="00937E7F">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 </w:t>
      </w:r>
    </w:p>
    <w:p w14:paraId="19AF27D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w:t>
      </w:r>
      <w:r w:rsidRPr="00A516D9">
        <w:rPr>
          <w:rFonts w:ascii="Times New Roman" w:eastAsia="Times New Roman" w:hAnsi="Times New Roman" w:cs="Times New Roman"/>
          <w:sz w:val="24"/>
          <w:szCs w:val="24"/>
          <w:lang w:eastAsia="en-GB"/>
        </w:rPr>
        <w:lastRenderedPageBreak/>
        <w:t xml:space="preserve">информация за наименованието, размера, съответното перо в бюджета на проекта и посочване на разходооправдателния документ. </w:t>
      </w:r>
    </w:p>
    <w:p w14:paraId="6F97994C"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25E0FC09"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331AFD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64330139" w14:textId="77777777" w:rsidR="00A516D9" w:rsidRDefault="00A516D9" w:rsidP="00B94C19">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sidRPr="0052196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3B9D217E" w14:textId="118FCAB9" w:rsidR="00983945" w:rsidRDefault="00F43497" w:rsidP="00B94C19">
      <w:pPr>
        <w:spacing w:after="36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sidR="00983945" w:rsidRPr="00983945">
        <w:t xml:space="preserve"> </w:t>
      </w:r>
      <w:r w:rsidR="00983945" w:rsidRPr="00983945">
        <w:rPr>
          <w:rFonts w:ascii="Times New Roman" w:eastAsia="Times New Roman" w:hAnsi="Times New Roman" w:cs="Times New Roman"/>
          <w:sz w:val="24"/>
          <w:szCs w:val="24"/>
          <w:lang w:eastAsia="en-GB"/>
        </w:rPr>
        <w:t>Бенефициентът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2B10BE59" w14:textId="5FC63ADB" w:rsidR="00F43497" w:rsidRPr="00415C21" w:rsidRDefault="00983945" w:rsidP="00B94C19">
      <w:pPr>
        <w:spacing w:after="360" w:line="240" w:lineRule="auto"/>
        <w:ind w:left="567" w:hanging="567"/>
        <w:jc w:val="both"/>
        <w:rPr>
          <w:rFonts w:ascii="Times New Roman" w:eastAsia="Times New Roman" w:hAnsi="Times New Roman" w:cs="Times New Roman"/>
          <w:sz w:val="24"/>
          <w:szCs w:val="24"/>
          <w:lang w:eastAsia="en-GB"/>
        </w:rPr>
      </w:pPr>
      <w:r w:rsidRPr="00983945">
        <w:rPr>
          <w:rFonts w:ascii="Times New Roman" w:eastAsia="Times New Roman" w:hAnsi="Times New Roman" w:cs="Times New Roman"/>
          <w:sz w:val="24"/>
          <w:szCs w:val="24"/>
          <w:lang w:eastAsia="en-GB"/>
        </w:rPr>
        <w:t>3.35.б.</w:t>
      </w:r>
      <w:r w:rsidR="00F43497"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00F43497" w:rsidRPr="00415C21">
        <w:rPr>
          <w:rFonts w:ascii="Times New Roman" w:eastAsia="Times New Roman" w:hAnsi="Times New Roman" w:cs="Times New Roman"/>
          <w:sz w:val="24"/>
          <w:szCs w:val="24"/>
          <w:lang w:eastAsia="en-GB"/>
        </w:rPr>
        <w:t>на стратегията МИГ</w:t>
      </w:r>
      <w:r w:rsidR="006C6541">
        <w:rPr>
          <w:rFonts w:ascii="Times New Roman" w:eastAsia="Times New Roman" w:hAnsi="Times New Roman" w:cs="Times New Roman"/>
          <w:sz w:val="24"/>
          <w:szCs w:val="24"/>
          <w:lang w:eastAsia="en-GB"/>
        </w:rPr>
        <w:t xml:space="preserve"> докладва</w:t>
      </w:r>
      <w:r w:rsidR="00F43497" w:rsidRPr="00415C21">
        <w:rPr>
          <w:rFonts w:ascii="Times New Roman" w:eastAsia="Times New Roman" w:hAnsi="Times New Roman" w:cs="Times New Roman"/>
          <w:sz w:val="24"/>
          <w:szCs w:val="24"/>
          <w:lang w:eastAsia="en-GB"/>
        </w:rPr>
        <w:t xml:space="preserve"> на УО и предлага мерки за преодоляването им.</w:t>
      </w:r>
    </w:p>
    <w:p w14:paraId="6A8B1725" w14:textId="176A771D"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00983945">
        <w:rPr>
          <w:rFonts w:ascii="Times New Roman" w:hAnsi="Times New Roman"/>
          <w:sz w:val="24"/>
          <w:szCs w:val="24"/>
        </w:rPr>
        <w:t xml:space="preserve"> 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4F376566" w14:textId="4B198632"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4513B024" w14:textId="7C331C71" w:rsidR="00415C21" w:rsidRPr="00521962" w:rsidRDefault="00415C21" w:rsidP="004F73B1">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521962">
        <w:rPr>
          <w:rFonts w:ascii="Times New Roman" w:hAnsi="Times New Roman"/>
          <w:sz w:val="24"/>
          <w:szCs w:val="24"/>
        </w:rPr>
        <w:t>.</w:t>
      </w:r>
    </w:p>
    <w:p w14:paraId="6E33944E" w14:textId="77777777" w:rsidR="00415C21" w:rsidRPr="00A516D9" w:rsidRDefault="00415C21" w:rsidP="00B94C19">
      <w:pPr>
        <w:spacing w:after="360" w:line="240" w:lineRule="auto"/>
        <w:ind w:left="567" w:hanging="567"/>
        <w:jc w:val="both"/>
        <w:rPr>
          <w:rFonts w:ascii="Times New Roman" w:eastAsia="Times New Roman" w:hAnsi="Times New Roman" w:cs="Times New Roman"/>
          <w:sz w:val="24"/>
          <w:szCs w:val="24"/>
          <w:lang w:eastAsia="en-GB"/>
        </w:rPr>
      </w:pPr>
    </w:p>
    <w:p w14:paraId="13C2E42A"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36B7EDC9"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4F60A5A"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w:t>
      </w:r>
      <w:r w:rsidRPr="00A516D9">
        <w:rPr>
          <w:rFonts w:ascii="Times New Roman" w:eastAsia="Times New Roman" w:hAnsi="Times New Roman" w:cs="Times New Roman"/>
          <w:sz w:val="24"/>
          <w:szCs w:val="24"/>
          <w:lang w:eastAsia="en-GB"/>
        </w:rPr>
        <w:lastRenderedPageBreak/>
        <w:t>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1054D445" w14:textId="3C4AAFFA"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sidR="00C34F33">
        <w:rPr>
          <w:rFonts w:ascii="Times New Roman" w:eastAsia="Times New Roman" w:hAnsi="Times New Roman" w:cs="Times New Roman"/>
          <w:sz w:val="24"/>
          <w:szCs w:val="24"/>
          <w:lang w:eastAsia="en-GB"/>
        </w:rPr>
        <w:t>МИГ</w:t>
      </w:r>
      <w:r w:rsidR="00C34F33">
        <w:rPr>
          <w:rFonts w:ascii="Times New Roman" w:eastAsia="Times New Roman" w:hAnsi="Times New Roman" w:cs="Times New Roman"/>
          <w:sz w:val="24"/>
          <w:szCs w:val="24"/>
          <w:lang w:eastAsia="fr-FR"/>
        </w:rPr>
        <w:t>/МИРГ</w:t>
      </w:r>
      <w:r w:rsidR="00C34F33">
        <w:rPr>
          <w:rFonts w:ascii="Times New Roman" w:eastAsia="Times New Roman" w:hAnsi="Times New Roman" w:cs="Times New Roman"/>
          <w:sz w:val="24"/>
          <w:szCs w:val="24"/>
          <w:lang w:eastAsia="en-GB"/>
        </w:rPr>
        <w:t xml:space="preserve">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6A4D210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1FC44E7C" w14:textId="2A569147" w:rsidR="000B7C66" w:rsidRDefault="00A516D9" w:rsidP="000B7C6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2B373B" w:rsidRPr="002B373B">
        <w:rPr>
          <w:rFonts w:ascii="Times New Roman" w:eastAsia="Times New Roman" w:hAnsi="Times New Roman" w:cs="Times New Roman"/>
          <w:sz w:val="24"/>
          <w:szCs w:val="24"/>
          <w:lang w:eastAsia="en-GB"/>
        </w:rPr>
        <w:t>Бенефициентът и МИГ/ не предприема каквито и да са дейности, които могат да го поставят в хипотеза на конфликт на интереси по смисъла на чл. 61 от Регламент 1046/2018 г. 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 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080B263" w14:textId="0B969E59" w:rsidR="00A516D9" w:rsidRPr="00A516D9" w:rsidRDefault="000B7C66" w:rsidP="000B7C66">
      <w:pPr>
        <w:spacing w:after="360" w:line="240" w:lineRule="auto"/>
        <w:ind w:left="567" w:hanging="567"/>
        <w:jc w:val="both"/>
        <w:rPr>
          <w:rFonts w:ascii="Times New Roman" w:eastAsia="Times New Roman" w:hAnsi="Times New Roman" w:cs="Times New Roman"/>
          <w:b/>
          <w:sz w:val="24"/>
          <w:szCs w:val="24"/>
          <w:lang w:eastAsia="en-GB"/>
        </w:rPr>
      </w:pPr>
      <w:r>
        <w:rPr>
          <w:rFonts w:ascii="Times New Roman" w:eastAsia="Times New Roman" w:hAnsi="Times New Roman" w:cs="Times New Roman"/>
          <w:sz w:val="24"/>
          <w:szCs w:val="24"/>
          <w:lang w:eastAsia="en-GB"/>
        </w:rPr>
        <w:tab/>
      </w:r>
      <w:r w:rsidR="00A516D9" w:rsidRPr="00A516D9">
        <w:rPr>
          <w:rFonts w:ascii="Times New Roman" w:eastAsia="Times New Roman" w:hAnsi="Times New Roman" w:cs="Times New Roman"/>
          <w:b/>
          <w:sz w:val="24"/>
          <w:szCs w:val="24"/>
          <w:lang w:val="ru-RU" w:eastAsia="en-GB"/>
        </w:rPr>
        <w:t>Поверителност</w:t>
      </w:r>
    </w:p>
    <w:p w14:paraId="14487648" w14:textId="2B362C02"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sidRPr="0052196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52196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52196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1F2B58" w:rsidRPr="00521962">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1F2B58" w:rsidRPr="00521962">
        <w:rPr>
          <w:rFonts w:ascii="Times New Roman" w:eastAsia="Times New Roman" w:hAnsi="Times New Roman" w:cs="Times New Roman"/>
          <w:sz w:val="24"/>
          <w:szCs w:val="24"/>
          <w:lang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sidRPr="00521962">
        <w:rPr>
          <w:rFonts w:ascii="Times New Roman" w:eastAsia="Times New Roman" w:hAnsi="Times New Roman" w:cs="Times New Roman"/>
          <w:sz w:val="24"/>
          <w:szCs w:val="24"/>
          <w:lang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/МИРГ</w:t>
      </w:r>
      <w:r w:rsidR="00190F36">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3AEE547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642A33F0"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4217639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w:t>
      </w:r>
      <w:r w:rsidRPr="00A516D9">
        <w:rPr>
          <w:rFonts w:ascii="Times New Roman" w:eastAsia="Times New Roman" w:hAnsi="Times New Roman" w:cs="Times New Roman"/>
          <w:sz w:val="24"/>
          <w:szCs w:val="24"/>
          <w:lang w:eastAsia="en-GB"/>
        </w:rPr>
        <w:lastRenderedPageBreak/>
        <w:t xml:space="preserve">предоставена последната индивидуална помощ по схемата de minimis, за което УО уведомява Бенефициента. </w:t>
      </w:r>
    </w:p>
    <w:p w14:paraId="1653824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1CBA8889"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3B14AAF7" w14:textId="3698C93D" w:rsidR="00A516D9" w:rsidRPr="00A516D9" w:rsidRDefault="002B373B" w:rsidP="00B94C19">
      <w:pPr>
        <w:tabs>
          <w:tab w:val="left" w:pos="2161"/>
        </w:tabs>
        <w:spacing w:after="360" w:line="240" w:lineRule="auto"/>
        <w:ind w:left="573" w:hanging="6"/>
        <w:jc w:val="both"/>
        <w:rPr>
          <w:rFonts w:ascii="Times New Roman" w:eastAsia="Times New Roman" w:hAnsi="Times New Roman" w:cs="Times New Roman"/>
          <w:sz w:val="24"/>
          <w:szCs w:val="24"/>
          <w:lang w:eastAsia="en-GB"/>
        </w:rPr>
      </w:pPr>
      <w:r w:rsidRPr="002B373B">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 МИГ и Европейската комисия спазват изискванията за защита на личните данни съобразно разпоредбите на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00C65FE4">
        <w:rPr>
          <w:rFonts w:ascii="Times New Roman" w:eastAsia="Times New Roman" w:hAnsi="Times New Roman" w:cs="Times New Roman"/>
          <w:sz w:val="24"/>
          <w:szCs w:val="24"/>
          <w:lang w:eastAsia="en-GB"/>
        </w:rPr>
        <w:t xml:space="preserve"> </w:t>
      </w:r>
      <w:r w:rsidR="00C65FE4" w:rsidRPr="00C65FE4">
        <w:rPr>
          <w:rFonts w:ascii="Times New Roman" w:eastAsia="Times New Roman" w:hAnsi="Times New Roman" w:cs="Times New Roman"/>
          <w:sz w:val="24"/>
          <w:szCs w:val="24"/>
          <w:lang w:eastAsia="en-GB"/>
        </w:rPr>
        <w:t>и приложимото национално законодателство.</w:t>
      </w:r>
    </w:p>
    <w:p w14:paraId="22EF8C3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5AE3D713" w14:textId="1A7681BD"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A91A9C">
        <w:rPr>
          <w:rFonts w:ascii="Times New Roman" w:eastAsia="Times New Roman" w:hAnsi="Times New Roman" w:cs="Times New Roman"/>
          <w:sz w:val="24"/>
          <w:szCs w:val="24"/>
          <w:lang w:eastAsia="en-GB"/>
        </w:rPr>
        <w:t xml:space="preserve">,  </w:t>
      </w:r>
      <w:r w:rsidR="00A91A9C" w:rsidRPr="00F83A4B">
        <w:rPr>
          <w:rFonts w:ascii="Times New Roman" w:eastAsia="Times New Roman" w:hAnsi="Times New Roman" w:cs="Times New Roman"/>
          <w:sz w:val="24"/>
          <w:szCs w:val="24"/>
          <w:lang w:eastAsia="en-GB"/>
        </w:rPr>
        <w:t>изменено с  чл. 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4D978DF" w14:textId="77777777" w:rsidR="00960D2C"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521962">
        <w:rPr>
          <w:rFonts w:ascii="Times New Roman" w:eastAsia="Times New Roman" w:hAnsi="Times New Roman" w:cs="Times New Roman"/>
          <w:sz w:val="24"/>
          <w:szCs w:val="24"/>
          <w:lang w:eastAsia="en-GB"/>
        </w:rPr>
        <w:t>3.40.1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45FED7E8" w14:textId="3D0EB48C" w:rsidR="00960D2C" w:rsidRPr="00102087"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r w:rsidRPr="00521962">
        <w:rPr>
          <w:rFonts w:ascii="Times New Roman" w:eastAsia="Times New Roman" w:hAnsi="Times New Roman" w:cs="Times New Roman"/>
          <w:sz w:val="24"/>
          <w:szCs w:val="24"/>
          <w:lang w:eastAsia="en-GB"/>
        </w:rPr>
        <w:t xml:space="preserve">мерки за информация и комуникация, насочени към обществеността, предвидени в Единния наръчник на Бенефициента за прилагане на </w:t>
      </w:r>
      <w:r w:rsidRPr="00521962">
        <w:rPr>
          <w:rFonts w:ascii="Times New Roman" w:eastAsia="Times New Roman" w:hAnsi="Times New Roman" w:cs="Times New Roman"/>
          <w:sz w:val="24"/>
          <w:szCs w:val="24"/>
          <w:lang w:eastAsia="en-GB"/>
        </w:rPr>
        <w:lastRenderedPageBreak/>
        <w:t>правилата за информация и комуникация</w:t>
      </w:r>
      <w:r>
        <w:rPr>
          <w:rFonts w:ascii="Times New Roman" w:eastAsia="Times New Roman" w:hAnsi="Times New Roman" w:cs="Times New Roman"/>
          <w:sz w:val="24"/>
          <w:szCs w:val="24"/>
          <w:lang w:eastAsia="en-GB"/>
        </w:rPr>
        <w:t xml:space="preserve"> </w:t>
      </w:r>
      <w:r w:rsidR="00983945" w:rsidRPr="00521962">
        <w:rPr>
          <w:rFonts w:ascii="Times New Roman" w:eastAsia="Times New Roman" w:hAnsi="Times New Roman" w:cs="Times New Roman"/>
          <w:sz w:val="24"/>
          <w:szCs w:val="24"/>
          <w:lang w:eastAsia="en-GB"/>
        </w:rPr>
        <w:t xml:space="preserve">2014-2020 </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71BEE8B6" w14:textId="53253C11"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006C6541">
        <w:rPr>
          <w:rFonts w:ascii="Times New Roman" w:eastAsia="Times New Roman" w:hAnsi="Times New Roman" w:cs="Times New Roman"/>
          <w:sz w:val="24"/>
          <w:szCs w:val="20"/>
          <w:lang w:eastAsia="en-GB"/>
        </w:rPr>
        <w:t>да уточнят</w:t>
      </w:r>
      <w:r w:rsidRPr="00A516D9">
        <w:rPr>
          <w:rFonts w:ascii="Times New Roman" w:eastAsia="Times New Roman" w:hAnsi="Times New Roman" w:cs="Times New Roman"/>
          <w:sz w:val="24"/>
          <w:szCs w:val="20"/>
          <w:lang w:eastAsia="en-GB"/>
        </w:rPr>
        <w:t xml:space="preserve">,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3F29523" w14:textId="567E2F3E"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4C5045D7"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14:paraId="3E94390C"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575D696F" w14:textId="77777777" w:rsidR="00A516D9" w:rsidRPr="00521962" w:rsidRDefault="00A516D9" w:rsidP="00B94C19">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35A2ACA1"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3CC5662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521962">
        <w:rPr>
          <w:rFonts w:ascii="Times New Roman" w:eastAsia="Times New Roman" w:hAnsi="Times New Roman" w:cs="Times New Roman"/>
          <w:sz w:val="24"/>
          <w:szCs w:val="24"/>
          <w:lang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7BEC621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367D2072"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521962">
        <w:rPr>
          <w:rFonts w:ascii="Times New Roman" w:eastAsia="Times New Roman" w:hAnsi="Times New Roman" w:cs="Times New Roman"/>
          <w:sz w:val="24"/>
          <w:szCs w:val="24"/>
          <w:lang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9527F8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Управляващият орган си запазва правото да не приеме направената промяна ако:</w:t>
      </w:r>
    </w:p>
    <w:p w14:paraId="6CF2DD71"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3C2626DF"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EAE055E" w14:textId="77777777"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15109E26"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521962">
        <w:rPr>
          <w:rFonts w:ascii="Times New Roman" w:eastAsia="Times New Roman" w:hAnsi="Times New Roman" w:cs="Times New Roman"/>
          <w:sz w:val="24"/>
          <w:szCs w:val="24"/>
          <w:lang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398FD7B8" w14:textId="77777777" w:rsidR="00A832A9" w:rsidRPr="00521962" w:rsidRDefault="00A832A9"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5E53855C" w14:textId="26DA530E" w:rsidR="00A832A9" w:rsidRPr="00521962" w:rsidRDefault="00C65FE4"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521962">
        <w:rPr>
          <w:rFonts w:ascii="Times New Roman" w:eastAsia="Times New Roman" w:hAnsi="Times New Roman" w:cs="Times New Roman"/>
          <w:sz w:val="24"/>
          <w:szCs w:val="24"/>
          <w:lang w:eastAsia="en-GB"/>
        </w:rPr>
        <w:t xml:space="preserve">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w:t>
      </w:r>
      <w:r>
        <w:rPr>
          <w:rFonts w:ascii="Times New Roman" w:eastAsia="Times New Roman" w:hAnsi="Times New Roman" w:cs="Times New Roman"/>
          <w:sz w:val="24"/>
          <w:szCs w:val="24"/>
          <w:lang w:eastAsia="en-GB"/>
        </w:rPr>
        <w:t xml:space="preserve">предвидените дейности, </w:t>
      </w:r>
      <w:r w:rsidRPr="00521962">
        <w:rPr>
          <w:rFonts w:ascii="Times New Roman" w:eastAsia="Times New Roman" w:hAnsi="Times New Roman" w:cs="Times New Roman"/>
          <w:sz w:val="24"/>
          <w:szCs w:val="24"/>
          <w:lang w:eastAsia="en-GB"/>
        </w:rPr>
        <w:t>договорената еднократна сума и заложените резултати не подлежат на промяна в периода на изпълнение на проекта.</w:t>
      </w:r>
    </w:p>
    <w:p w14:paraId="07C5D7A6" w14:textId="77777777" w:rsidR="00521962" w:rsidRDefault="00521962"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p>
    <w:p w14:paraId="452FFA41"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5CA075AA"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521962">
        <w:rPr>
          <w:rFonts w:ascii="Times New Roman" w:eastAsia="Times New Roman" w:hAnsi="Times New Roman" w:cs="Times New Roman"/>
          <w:sz w:val="24"/>
          <w:szCs w:val="24"/>
          <w:lang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4BEEB719" w14:textId="77777777" w:rsidR="00521962" w:rsidRDefault="00521962"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p>
    <w:p w14:paraId="12CEE3B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26036922" w14:textId="41E739E9"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521962">
        <w:rPr>
          <w:rFonts w:ascii="Times New Roman" w:eastAsia="Times New Roman" w:hAnsi="Times New Roman" w:cs="Times New Roman"/>
          <w:sz w:val="24"/>
          <w:szCs w:val="24"/>
          <w:lang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7C1FF6">
        <w:rPr>
          <w:rFonts w:ascii="Times New Roman" w:eastAsia="Times New Roman" w:hAnsi="Times New Roman" w:cs="Times New Roman"/>
          <w:sz w:val="24"/>
          <w:szCs w:val="24"/>
          <w:lang w:eastAsia="en-GB"/>
        </w:rPr>
        <w:t>…….</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sidRPr="0052196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sidRPr="00521962">
        <w:rPr>
          <w:rFonts w:ascii="Times New Roman" w:eastAsia="Times New Roman" w:hAnsi="Times New Roman" w:cs="Times New Roman"/>
          <w:sz w:val="24"/>
          <w:szCs w:val="24"/>
          <w:lang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sidRPr="00521962">
        <w:rPr>
          <w:rFonts w:ascii="Times New Roman" w:eastAsia="Times New Roman" w:hAnsi="Times New Roman" w:cs="Times New Roman"/>
          <w:sz w:val="24"/>
          <w:szCs w:val="24"/>
          <w:lang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6BE4FBEA"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sidRPr="00521962">
        <w:rPr>
          <w:rFonts w:ascii="Times New Roman" w:eastAsia="Times New Roman" w:hAnsi="Times New Roman" w:cs="Times New Roman"/>
          <w:sz w:val="24"/>
          <w:szCs w:val="24"/>
          <w:lang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AA1338C"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3.</w:t>
      </w:r>
      <w:r w:rsidR="00046B1F">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25435F4C"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4ABAD7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92B8E2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sidRPr="0052196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52196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52196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1F2B58" w:rsidRPr="00521962">
        <w:rPr>
          <w:rFonts w:ascii="Times New Roman" w:eastAsia="Times New Roman" w:hAnsi="Times New Roman" w:cs="Times New Roman"/>
          <w:sz w:val="24"/>
          <w:szCs w:val="24"/>
          <w:lang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521962">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46F9E7D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7C3F928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521962">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00FD63F2" w:rsidRPr="00521962">
        <w:rPr>
          <w:rFonts w:ascii="Times New Roman" w:eastAsia="Times New Roman" w:hAnsi="Times New Roman" w:cs="Times New Roman"/>
          <w:sz w:val="24"/>
          <w:szCs w:val="24"/>
          <w:lang w:eastAsia="en-GB"/>
        </w:rPr>
        <w:t>56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521962">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00FD63F2" w:rsidRPr="00521962">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DE5D93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65CB744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14:paraId="49391C2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2EF9621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0345A4E"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63792F49"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3B17F244"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0B5E004" w14:textId="77777777"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C5FAD9A" w14:textId="78313746"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w:t>
      </w:r>
      <w:r w:rsidR="00983945">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7D93D6F7"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2BAAC2D5" w14:textId="77777777"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 xml:space="preserve">В случай, че за лице представляващо бенефициента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w:t>
      </w:r>
      <w:r w:rsidRPr="000B7647">
        <w:rPr>
          <w:rFonts w:ascii="Times New Roman" w:eastAsia="Times New Roman" w:hAnsi="Times New Roman" w:cs="Times New Roman"/>
          <w:sz w:val="24"/>
          <w:szCs w:val="24"/>
          <w:lang w:eastAsia="en-GB"/>
        </w:rPr>
        <w:lastRenderedPageBreak/>
        <w:t>изпълнило разпореждане на Европейската комисия за възстановяване на предоставената им неправомерна и несъвместима държавна помощ</w:t>
      </w:r>
    </w:p>
    <w:p w14:paraId="51013E05"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sidRPr="00521962">
        <w:rPr>
          <w:rFonts w:ascii="Times New Roman" w:eastAsia="Times New Roman" w:hAnsi="Times New Roman" w:cs="Times New Roman"/>
          <w:sz w:val="24"/>
          <w:szCs w:val="24"/>
          <w:lang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521962">
        <w:rPr>
          <w:rFonts w:ascii="Times New Roman" w:eastAsia="Times New Roman" w:hAnsi="Times New Roman" w:cs="Times New Roman"/>
          <w:sz w:val="24"/>
          <w:szCs w:val="24"/>
          <w:lang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521962">
        <w:rPr>
          <w:rFonts w:ascii="Times New Roman" w:eastAsia="Times New Roman" w:hAnsi="Times New Roman" w:cs="Times New Roman"/>
          <w:sz w:val="24"/>
          <w:szCs w:val="24"/>
          <w:lang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521962">
        <w:rPr>
          <w:rFonts w:ascii="Times New Roman" w:eastAsia="Times New Roman" w:hAnsi="Times New Roman" w:cs="Times New Roman"/>
          <w:sz w:val="24"/>
          <w:szCs w:val="24"/>
          <w:lang w:eastAsia="en-GB"/>
        </w:rPr>
        <w:t>7</w:t>
      </w:r>
      <w:r w:rsidR="00A516D9" w:rsidRPr="00A516D9">
        <w:rPr>
          <w:rFonts w:ascii="Times New Roman" w:eastAsia="Times New Roman" w:hAnsi="Times New Roman" w:cs="Times New Roman"/>
          <w:sz w:val="24"/>
          <w:szCs w:val="24"/>
          <w:lang w:eastAsia="en-GB"/>
        </w:rPr>
        <w:t>, 3.</w:t>
      </w:r>
      <w:r w:rsidR="00BF52FA" w:rsidRPr="00521962">
        <w:rPr>
          <w:rFonts w:ascii="Times New Roman" w:eastAsia="Times New Roman" w:hAnsi="Times New Roman" w:cs="Times New Roman"/>
          <w:sz w:val="24"/>
          <w:szCs w:val="24"/>
          <w:lang w:eastAsia="en-GB"/>
        </w:rPr>
        <w:t>68</w:t>
      </w:r>
      <w:r w:rsidR="00A516D9" w:rsidRPr="00A516D9">
        <w:rPr>
          <w:rFonts w:ascii="Times New Roman" w:eastAsia="Times New Roman" w:hAnsi="Times New Roman" w:cs="Times New Roman"/>
          <w:sz w:val="24"/>
          <w:szCs w:val="24"/>
          <w:lang w:eastAsia="en-GB"/>
        </w:rPr>
        <w:t>, 3.</w:t>
      </w:r>
      <w:r w:rsidR="00BF52FA" w:rsidRPr="00521962">
        <w:rPr>
          <w:rFonts w:ascii="Times New Roman" w:eastAsia="Times New Roman" w:hAnsi="Times New Roman" w:cs="Times New Roman"/>
          <w:sz w:val="24"/>
          <w:szCs w:val="24"/>
          <w:lang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sidRPr="00521962">
        <w:rPr>
          <w:rFonts w:ascii="Times New Roman" w:eastAsia="Times New Roman" w:hAnsi="Times New Roman" w:cs="Times New Roman"/>
          <w:sz w:val="24"/>
          <w:szCs w:val="24"/>
          <w:lang w:eastAsia="en-GB"/>
        </w:rPr>
        <w:t>0</w:t>
      </w:r>
      <w:r w:rsidR="00A516D9" w:rsidRPr="00A516D9">
        <w:rPr>
          <w:rFonts w:ascii="Times New Roman" w:eastAsia="Times New Roman" w:hAnsi="Times New Roman" w:cs="Times New Roman"/>
          <w:sz w:val="24"/>
          <w:szCs w:val="24"/>
          <w:lang w:eastAsia="en-GB"/>
        </w:rPr>
        <w:t>;</w:t>
      </w:r>
      <w:bookmarkStart w:id="9" w:name="_Ref41305235"/>
    </w:p>
    <w:p w14:paraId="37B51B16"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39DCE99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0F77D551" w14:textId="21FA082D"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521962">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6AFA3473" w14:textId="3B7941E8"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0AC50831" w14:textId="5EA5780F"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p>
    <w:p w14:paraId="003084E4" w14:textId="77777777" w:rsidR="00190F36" w:rsidRP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1BBAFD84" w14:textId="77777777" w:rsid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521962">
        <w:rPr>
          <w:rFonts w:ascii="Times New Roman" w:eastAsia="Times New Roman" w:hAnsi="Times New Roman" w:cs="Times New Roman"/>
          <w:sz w:val="24"/>
          <w:szCs w:val="24"/>
          <w:lang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1FF311FA" w14:textId="77777777" w:rsidR="00521962" w:rsidRPr="00A516D9" w:rsidRDefault="00521962"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p>
    <w:p w14:paraId="6F9C6D6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31E7E5E7" w14:textId="77777777" w:rsidR="00983945" w:rsidRDefault="00A516D9" w:rsidP="00B94C19">
      <w:pPr>
        <w:tabs>
          <w:tab w:val="num" w:pos="1200"/>
          <w:tab w:val="left" w:pos="2161"/>
        </w:tabs>
        <w:spacing w:after="360" w:line="240" w:lineRule="auto"/>
        <w:ind w:left="567" w:hanging="567"/>
        <w:jc w:val="both"/>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r w:rsidR="00983945" w:rsidRPr="00983945">
        <w:t xml:space="preserve"> </w:t>
      </w:r>
    </w:p>
    <w:p w14:paraId="13225F29" w14:textId="40D7BE75" w:rsidR="00983945" w:rsidRPr="00A516D9" w:rsidRDefault="00983945" w:rsidP="00983945">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983945">
        <w:rPr>
          <w:rFonts w:ascii="Times New Roman" w:eastAsia="Times New Roman" w:hAnsi="Times New Roman" w:cs="Times New Roman"/>
          <w:sz w:val="24"/>
          <w:szCs w:val="24"/>
          <w:lang w:eastAsia="en-GB"/>
        </w:rPr>
        <w:lastRenderedPageBreak/>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32D8404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2D2679D3" w14:textId="657DA536"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381C569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3231B405" w14:textId="2037E7E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37D3F8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59E7F10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3215F5A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0F7DE1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В случаите, когато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B386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03629A6B" w14:textId="77777777" w:rsidR="00A91A9C" w:rsidRPr="00A516D9" w:rsidRDefault="00A516D9" w:rsidP="00A91A9C">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521962">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sidR="00A91A9C">
        <w:rPr>
          <w:rFonts w:ascii="Times New Roman" w:eastAsia="Times New Roman" w:hAnsi="Times New Roman" w:cs="Times New Roman"/>
          <w:sz w:val="24"/>
          <w:szCs w:val="24"/>
          <w:lang w:eastAsia="en-GB"/>
        </w:rPr>
        <w:t xml:space="preserve">,  </w:t>
      </w:r>
      <w:r w:rsidR="00A91A9C" w:rsidRPr="00F83A4B">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w:t>
      </w:r>
      <w:r w:rsidR="00A91A9C" w:rsidRPr="00853C17">
        <w:rPr>
          <w:rFonts w:ascii="Times New Roman" w:eastAsia="Times New Roman" w:hAnsi="Times New Roman" w:cs="Times New Roman"/>
          <w:sz w:val="24"/>
          <w:szCs w:val="24"/>
          <w:lang w:eastAsia="en-GB"/>
        </w:rPr>
        <w:t>) № 966/2012.</w:t>
      </w:r>
    </w:p>
    <w:p w14:paraId="6E525845" w14:textId="0CFBBE2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681142AE" w14:textId="30BB9F50"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937F189" w14:textId="28DB872C"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sidR="00FB1BDD">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723A1D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521962">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 xml:space="preserve">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w:t>
      </w:r>
      <w:r w:rsidRPr="00A516D9">
        <w:rPr>
          <w:rFonts w:ascii="Times New Roman" w:eastAsia="Times New Roman" w:hAnsi="Times New Roman" w:cs="Times New Roman"/>
          <w:sz w:val="24"/>
          <w:szCs w:val="24"/>
          <w:lang w:eastAsia="en-GB"/>
        </w:rPr>
        <w:lastRenderedPageBreak/>
        <w:t>Бенефициента е международна организация, се прилагат споразумения за проверки, сключени между тази организация и Европейската комисия.</w:t>
      </w:r>
    </w:p>
    <w:p w14:paraId="387138F0" w14:textId="2AFF1BFD" w:rsidR="00A91A9C" w:rsidRPr="00A516D9" w:rsidRDefault="00A516D9" w:rsidP="00A91A9C">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A91A9C" w:rsidRPr="00853C17">
        <w:rPr>
          <w:rFonts w:ascii="Times New Roman" w:eastAsia="Times New Roman" w:hAnsi="Times New Roman" w:cs="Times New Roman"/>
          <w:sz w:val="24"/>
          <w:szCs w:val="24"/>
          <w:lang w:eastAsia="en-GB"/>
        </w:rPr>
        <w:t>, 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3A8277ED" w14:textId="7AD9D449" w:rsidR="00A516D9" w:rsidRPr="00A516D9" w:rsidRDefault="00A516D9" w:rsidP="00A91A9C">
      <w:pPr>
        <w:tabs>
          <w:tab w:val="num" w:pos="1200"/>
          <w:tab w:val="left" w:pos="2161"/>
        </w:tabs>
        <w:spacing w:after="240" w:line="240" w:lineRule="auto"/>
        <w:jc w:val="both"/>
        <w:rPr>
          <w:rFonts w:ascii="Times New Roman" w:eastAsia="Times New Roman" w:hAnsi="Times New Roman" w:cs="Times New Roman"/>
          <w:sz w:val="24"/>
          <w:szCs w:val="24"/>
          <w:lang w:eastAsia="en-GB"/>
        </w:rPr>
      </w:pPr>
    </w:p>
    <w:p w14:paraId="3A3F830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3193A6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086C093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3FE1F93C" w14:textId="77777777" w:rsidR="00F74BF4" w:rsidRPr="00F74BF4" w:rsidRDefault="00F74BF4" w:rsidP="00F74BF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F74BF4">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 МИГ и УО са длъжни да документират и събират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съгласно чл. 6, ал. 4 и 5 на Регламент 1407/2013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31B33D4D" w14:textId="77777777" w:rsidR="00F74BF4" w:rsidRDefault="00F74BF4"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F74BF4">
        <w:rPr>
          <w:rFonts w:ascii="Times New Roman" w:eastAsia="Times New Roman" w:hAnsi="Times New Roman" w:cs="Times New Roman"/>
          <w:sz w:val="24"/>
          <w:szCs w:val="24"/>
          <w:lang w:eastAsia="en-GB"/>
        </w:rPr>
        <w:t xml:space="preserve">При поискване от Европейската комисия бенефициентът и партньорът предоставят чрез УО нa ОПРЧР на министъра на финансите цялата информация и </w:t>
      </w:r>
      <w:r w:rsidRPr="00F74BF4">
        <w:rPr>
          <w:rFonts w:ascii="Times New Roman" w:eastAsia="Times New Roman" w:hAnsi="Times New Roman" w:cs="Times New Roman"/>
          <w:sz w:val="24"/>
          <w:szCs w:val="24"/>
          <w:lang w:eastAsia="en-GB"/>
        </w:rPr>
        <w:lastRenderedPageBreak/>
        <w:t>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4B5312E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4D087A83"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надвишава максималния размер на </w:t>
      </w:r>
      <w:r w:rsidR="00295361">
        <w:rPr>
          <w:rFonts w:ascii="Times New Roman" w:eastAsia="Times New Roman" w:hAnsi="Times New Roman" w:cs="Times New Roman"/>
          <w:sz w:val="24"/>
          <w:szCs w:val="24"/>
          <w:lang w:eastAsia="en-GB"/>
        </w:rPr>
        <w:t>безвъзмездната финансова помощ</w:t>
      </w:r>
      <w:r w:rsidRPr="00A516D9">
        <w:rPr>
          <w:rFonts w:ascii="Times New Roman" w:eastAsia="Times New Roman" w:hAnsi="Times New Roman" w:cs="Times New Roman"/>
          <w:sz w:val="24"/>
          <w:szCs w:val="24"/>
          <w:lang w:eastAsia="en-GB"/>
        </w:rPr>
        <w:t xml:space="preserve">, предвиден в член </w:t>
      </w:r>
      <w:r w:rsidR="00A832A9" w:rsidRPr="009763CF">
        <w:rPr>
          <w:rFonts w:ascii="Times New Roman" w:eastAsia="Times New Roman" w:hAnsi="Times New Roman" w:cs="Times New Roman"/>
          <w:sz w:val="24"/>
          <w:szCs w:val="24"/>
          <w:lang w:eastAsia="en-GB"/>
        </w:rPr>
        <w:t>2.1</w:t>
      </w:r>
      <w:r w:rsidRPr="00A516D9">
        <w:rPr>
          <w:rFonts w:ascii="Times New Roman" w:eastAsia="Times New Roman" w:hAnsi="Times New Roman" w:cs="Times New Roman"/>
          <w:sz w:val="24"/>
          <w:szCs w:val="24"/>
          <w:lang w:eastAsia="en-GB"/>
        </w:rPr>
        <w:t xml:space="preserve"> от договора.</w:t>
      </w:r>
    </w:p>
    <w:p w14:paraId="5950CA95"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9763CF">
        <w:rPr>
          <w:rFonts w:ascii="Times New Roman" w:eastAsia="Times New Roman" w:hAnsi="Times New Roman" w:cs="Times New Roman"/>
          <w:sz w:val="24"/>
          <w:szCs w:val="24"/>
          <w:lang w:eastAsia="en-GB"/>
        </w:rPr>
        <w:t>2.</w:t>
      </w:r>
      <w:r w:rsidR="00A832A9">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0B788B8D"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2A8E566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3195470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sidRPr="00521962">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6D34F7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339CFD6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28B1F21F"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521962">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14:paraId="4DA24E5A" w14:textId="78882DCB"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 xml:space="preserve">енефициентът възстановява пълния размер на предоставените средства по настоящия договор, ведно със законната </w:t>
      </w:r>
      <w:r w:rsidR="00CB0A15" w:rsidRPr="00CA4CC5">
        <w:rPr>
          <w:rFonts w:ascii="Times New Roman" w:eastAsia="Times New Roman" w:hAnsi="Times New Roman" w:cs="Times New Roman"/>
          <w:sz w:val="24"/>
          <w:szCs w:val="20"/>
        </w:rPr>
        <w:lastRenderedPageBreak/>
        <w:t>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r w:rsidR="00742AB0">
        <w:rPr>
          <w:rFonts w:ascii="Times New Roman" w:eastAsia="Times New Roman" w:hAnsi="Times New Roman" w:cs="Times New Roman"/>
          <w:sz w:val="24"/>
          <w:szCs w:val="24"/>
          <w:lang w:eastAsia="fr-FR"/>
        </w:rPr>
        <w:t>.</w:t>
      </w:r>
      <w:r w:rsidR="00742AB0" w:rsidRPr="00742AB0">
        <w:t xml:space="preserve"> </w:t>
      </w:r>
      <w:r w:rsidR="00742AB0" w:rsidRPr="00742AB0">
        <w:rPr>
          <w:rFonts w:ascii="Times New Roman" w:eastAsia="Times New Roman" w:hAnsi="Times New Roman" w:cs="Times New Roman"/>
          <w:sz w:val="24"/>
          <w:szCs w:val="24"/>
          <w:lang w:eastAsia="fr-FR"/>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 издадените актове подлежат на събиране по реда на Данъчно-осигурителния процесуален кодекс от органите на Националната агенция за приходите.</w:t>
      </w:r>
    </w:p>
    <w:p w14:paraId="66A4AA49" w14:textId="08DD64ED"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w:t>
      </w:r>
      <w:r w:rsidR="006C6541">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sidRPr="00521962">
        <w:rPr>
          <w:rFonts w:ascii="Times New Roman" w:eastAsia="Times New Roman" w:hAnsi="Times New Roman" w:cs="Times New Roman"/>
          <w:sz w:val="24"/>
          <w:szCs w:val="24"/>
          <w:lang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има право на обезщетение за забавено плащане в размер на законовата лихва за периода на просрочието.</w:t>
      </w:r>
    </w:p>
    <w:p w14:paraId="5625995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7B77C0B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521962">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3C293C3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521962">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 се пристъпва към един от следните способи за възстановяване:</w:t>
      </w:r>
    </w:p>
    <w:p w14:paraId="14F70CA1" w14:textId="77777777"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4AC3462" w14:textId="77777777"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3D6280C6" w14:textId="77777777" w:rsidR="00D770FA" w:rsidRPr="00A516D9" w:rsidRDefault="00295361" w:rsidP="00B94C19">
      <w:pPr>
        <w:tabs>
          <w:tab w:val="left" w:pos="567"/>
        </w:tabs>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3.80</w:t>
      </w:r>
      <w:r w:rsidRPr="00521962">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p>
    <w:p w14:paraId="06F2F85C" w14:textId="77777777" w:rsidR="00A516D9" w:rsidRPr="00A516D9" w:rsidRDefault="00A516D9"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Приложим закон и уреждане на спорове</w:t>
      </w:r>
    </w:p>
    <w:p w14:paraId="322E9F64"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sidRPr="00521962">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41A57B1F"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04712C28" w14:textId="690F3883" w:rsidR="00D33F1F" w:rsidRDefault="00983945" w:rsidP="00B94C19">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14:paraId="04B7B07C" w14:textId="77777777" w:rsidR="002F0AAE" w:rsidRPr="00B94C19"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lastRenderedPageBreak/>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p>
    <w:p w14:paraId="15FA3022" w14:textId="77777777" w:rsidR="002F0AAE" w:rsidRPr="00A8286C" w:rsidRDefault="002F0AAE" w:rsidP="00330440">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3A154CD6"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бенефициента – </w:t>
      </w:r>
    </w:p>
    <w:p w14:paraId="5E318854"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1 – </w:t>
      </w:r>
    </w:p>
    <w:p w14:paraId="2D47EF82"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2 – </w:t>
      </w:r>
    </w:p>
    <w:p w14:paraId="3BBC24C5" w14:textId="77777777" w:rsidR="002F0AAE" w:rsidRPr="003F41B4" w:rsidRDefault="0017531C" w:rsidP="00B94C19">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3F41B4">
        <w:rPr>
          <w:rFonts w:ascii="Times New Roman" w:eastAsia="Times New Roman" w:hAnsi="Times New Roman" w:cs="Times New Roman"/>
          <w:sz w:val="24"/>
          <w:szCs w:val="20"/>
        </w:rPr>
        <w:t xml:space="preserve">За партньор </w:t>
      </w:r>
      <w:r w:rsidR="002F0AAE" w:rsidRPr="003F41B4">
        <w:rPr>
          <w:rFonts w:ascii="Times New Roman" w:eastAsia="Times New Roman" w:hAnsi="Times New Roman" w:cs="Times New Roman"/>
          <w:sz w:val="24"/>
          <w:szCs w:val="20"/>
          <w:lang w:val="en-US"/>
        </w:rPr>
        <w:t>n</w:t>
      </w:r>
      <w:r w:rsidR="002F0AAE" w:rsidRPr="003F41B4">
        <w:rPr>
          <w:rFonts w:ascii="Times New Roman" w:eastAsia="Times New Roman" w:hAnsi="Times New Roman" w:cs="Times New Roman"/>
          <w:sz w:val="24"/>
          <w:szCs w:val="20"/>
        </w:rPr>
        <w:t xml:space="preserve"> – </w:t>
      </w:r>
    </w:p>
    <w:p w14:paraId="3BDB6B8A"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Предоставената помощ de minimis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6BB95C08"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35BA61CC" w14:textId="77777777" w:rsidR="00F02509" w:rsidRDefault="002F0AAE" w:rsidP="00F0250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r w:rsidR="00F02509">
        <w:rPr>
          <w:rFonts w:ascii="Times New Roman" w:eastAsia="Times New Roman" w:hAnsi="Times New Roman" w:cs="Times New Roman"/>
          <w:sz w:val="24"/>
          <w:szCs w:val="24"/>
        </w:rPr>
        <w:t xml:space="preserve"> </w:t>
      </w:r>
    </w:p>
    <w:p w14:paraId="0A80DD55" w14:textId="77777777" w:rsidR="005A3F84" w:rsidRDefault="00F02509" w:rsidP="009763CF">
      <w:pPr>
        <w:spacing w:before="80" w:after="80" w:line="240" w:lineRule="auto"/>
        <w:jc w:val="both"/>
        <w:rPr>
          <w:rFonts w:ascii="Times New Roman" w:eastAsia="Times New Roman" w:hAnsi="Times New Roman" w:cs="Times New Roman"/>
          <w:sz w:val="24"/>
          <w:szCs w:val="24"/>
        </w:rPr>
      </w:pPr>
      <w:r w:rsidRPr="00F02509">
        <w:rPr>
          <w:rFonts w:ascii="Times New Roman" w:eastAsia="Times New Roman" w:hAnsi="Times New Roman" w:cs="Times New Roman"/>
          <w:sz w:val="24"/>
          <w:szCs w:val="24"/>
        </w:rPr>
        <w:t>5.2</w:t>
      </w:r>
      <w:r w:rsidR="005A3F84">
        <w:rPr>
          <w:rFonts w:ascii="Times New Roman" w:eastAsia="Times New Roman" w:hAnsi="Times New Roman" w:cs="Times New Roman"/>
          <w:sz w:val="24"/>
          <w:szCs w:val="24"/>
        </w:rPr>
        <w:t xml:space="preserve"> Бенефициентът/партньорът/те при кандидатстване за друго публично </w:t>
      </w:r>
      <w:r w:rsidR="005A3F84" w:rsidRPr="005A3F84">
        <w:rPr>
          <w:rFonts w:ascii="Times New Roman" w:eastAsia="Times New Roman" w:hAnsi="Times New Roman" w:cs="Times New Roman"/>
          <w:sz w:val="24"/>
          <w:szCs w:val="24"/>
        </w:rPr>
        <w:t>финансиране следва да има предвид, че:</w:t>
      </w:r>
    </w:p>
    <w:p w14:paraId="410C8303" w14:textId="0CB7CC77" w:rsidR="002F0AAE" w:rsidRDefault="00F02509" w:rsidP="009763CF">
      <w:pPr>
        <w:spacing w:before="80" w:after="80" w:line="240" w:lineRule="auto"/>
        <w:jc w:val="both"/>
        <w:rPr>
          <w:rFonts w:ascii="Times New Roman" w:eastAsia="Times New Roman" w:hAnsi="Times New Roman" w:cs="Times New Roman"/>
          <w:sz w:val="24"/>
          <w:szCs w:val="24"/>
        </w:rPr>
      </w:pPr>
      <w:r w:rsidRPr="00F02509">
        <w:rPr>
          <w:rFonts w:ascii="Times New Roman" w:eastAsia="Times New Roman" w:hAnsi="Times New Roman" w:cs="Times New Roman"/>
          <w:sz w:val="24"/>
          <w:szCs w:val="24"/>
        </w:rPr>
        <w:t xml:space="preserve"> - а) Общият размер на безвъзмездната помощ, предоставена на едно и също предприятие за дейности, обявени в режим „de minimis” съгласно Регламент (ЕС) </w:t>
      </w:r>
      <w:r w:rsidR="005A3F84">
        <w:rPr>
          <w:rFonts w:ascii="Times New Roman" w:eastAsia="Times New Roman" w:hAnsi="Times New Roman" w:cs="Times New Roman"/>
          <w:sz w:val="24"/>
          <w:szCs w:val="24"/>
        </w:rPr>
        <w:t>№</w:t>
      </w:r>
      <w:r w:rsidRPr="00F02509">
        <w:rPr>
          <w:rFonts w:ascii="Times New Roman" w:eastAsia="Times New Roman" w:hAnsi="Times New Roman" w:cs="Times New Roman"/>
          <w:sz w:val="24"/>
          <w:szCs w:val="24"/>
        </w:rPr>
        <w:t xml:space="preserve"> 1407/2013 на Комисията, не може да надхвърля левовата равностойност на 200 000 евро (391 166 лева) и съответно левовата равностойност на 100 000 евро в случай на едно и също предприятие, което осъществява автомобилни товарни превози за чужда сметка за период от три бюджетни години;</w:t>
      </w:r>
    </w:p>
    <w:p w14:paraId="72284C1A" w14:textId="7B0A2202" w:rsidR="005A3F84" w:rsidRPr="005A3F84" w:rsidRDefault="005A3F84" w:rsidP="005A3F84">
      <w:pPr>
        <w:spacing w:before="80" w:after="80" w:line="240" w:lineRule="auto"/>
        <w:jc w:val="both"/>
        <w:rPr>
          <w:rFonts w:ascii="Times New Roman" w:eastAsia="Times New Roman" w:hAnsi="Times New Roman" w:cs="Times New Roman"/>
          <w:sz w:val="24"/>
          <w:szCs w:val="24"/>
        </w:rPr>
      </w:pPr>
      <w:r w:rsidRPr="005A3F84">
        <w:rPr>
          <w:rFonts w:ascii="Times New Roman" w:eastAsia="Times New Roman" w:hAnsi="Times New Roman" w:cs="Times New Roman"/>
          <w:sz w:val="24"/>
          <w:szCs w:val="24"/>
        </w:rPr>
        <w:t xml:space="preserve">б) Минималната помощ, предоставена по настоящия договор, може да се натрупва с минимална помощ, предоставена съгласно Регламент (ЕС) </w:t>
      </w:r>
      <w:r>
        <w:rPr>
          <w:rFonts w:ascii="Times New Roman" w:eastAsia="Times New Roman" w:hAnsi="Times New Roman" w:cs="Times New Roman"/>
          <w:sz w:val="24"/>
          <w:szCs w:val="24"/>
        </w:rPr>
        <w:t>№</w:t>
      </w:r>
      <w:r w:rsidRPr="005A3F84">
        <w:rPr>
          <w:rFonts w:ascii="Times New Roman" w:eastAsia="Times New Roman" w:hAnsi="Times New Roman" w:cs="Times New Roman"/>
          <w:sz w:val="24"/>
          <w:szCs w:val="24"/>
        </w:rPr>
        <w:t xml:space="preserve"> 1408/2013 на Комисията от 18 декември 2013 г. относно прилагането на членове 107 и 108 от Договора за функционирането на Европейския съюз към помощта de minimis в селскостопанския сектор (ОВ L 352 от 24.12.2013 г.) и Регламент (ЕС) No 717/2014 на Комисията от 27 юни 2014 година относно прилагането на членове 107 и 108 от Договора за функционирането на Европейския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дейности до съответ</w:t>
      </w:r>
      <w:r>
        <w:rPr>
          <w:rFonts w:ascii="Times New Roman" w:eastAsia="Times New Roman" w:hAnsi="Times New Roman" w:cs="Times New Roman"/>
          <w:sz w:val="24"/>
          <w:szCs w:val="24"/>
        </w:rPr>
        <w:t>н</w:t>
      </w:r>
      <w:r w:rsidRPr="005A3F84">
        <w:rPr>
          <w:rFonts w:ascii="Times New Roman" w:eastAsia="Times New Roman" w:hAnsi="Times New Roman" w:cs="Times New Roman"/>
          <w:sz w:val="24"/>
          <w:szCs w:val="24"/>
        </w:rPr>
        <w:t>ия праг за конкретния вид дейност.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Европейския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равностойност на 500 000 евро.</w:t>
      </w:r>
    </w:p>
    <w:p w14:paraId="022BA8C2" w14:textId="586FAC9B" w:rsidR="005A3F84" w:rsidRPr="004F73B1" w:rsidRDefault="005A3F84" w:rsidP="005A3F84">
      <w:pPr>
        <w:spacing w:before="80" w:after="80" w:line="240" w:lineRule="auto"/>
        <w:jc w:val="both"/>
        <w:rPr>
          <w:rFonts w:ascii="Times New Roman" w:eastAsia="Times New Roman" w:hAnsi="Times New Roman" w:cs="Times New Roman"/>
          <w:sz w:val="24"/>
          <w:szCs w:val="24"/>
        </w:rPr>
      </w:pPr>
      <w:r w:rsidRPr="005A3F84">
        <w:rPr>
          <w:rFonts w:ascii="Times New Roman" w:eastAsia="Times New Roman" w:hAnsi="Times New Roman" w:cs="Times New Roman"/>
          <w:sz w:val="24"/>
          <w:szCs w:val="24"/>
        </w:rPr>
        <w:t xml:space="preserve">в) </w:t>
      </w:r>
      <w:r w:rsidR="00742AB0" w:rsidRPr="00742AB0">
        <w:rPr>
          <w:rFonts w:ascii="Times New Roman" w:eastAsia="Times New Roman" w:hAnsi="Times New Roman" w:cs="Times New Roman"/>
          <w:sz w:val="24"/>
          <w:szCs w:val="24"/>
        </w:rPr>
        <w:t xml:space="preserve">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w:t>
      </w:r>
      <w:r w:rsidR="00742AB0" w:rsidRPr="00742AB0">
        <w:rPr>
          <w:rFonts w:ascii="Times New Roman" w:eastAsia="Times New Roman" w:hAnsi="Times New Roman" w:cs="Times New Roman"/>
          <w:sz w:val="24"/>
          <w:szCs w:val="24"/>
        </w:rPr>
        <w:lastRenderedPageBreak/>
        <w:t>отделен случай с регламент за групово освобождаване или с решение, приети от Комисията.</w:t>
      </w:r>
    </w:p>
    <w:p w14:paraId="180AD758" w14:textId="77777777" w:rsidR="006C01A7" w:rsidRPr="00B94C19"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средствата от Eвропейските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72F408DB" w14:textId="77777777"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p>
    <w:p w14:paraId="2B8AFD43" w14:textId="22B79CB7" w:rsidR="00237EE7" w:rsidRPr="00237EE7"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37EE7" w:rsidRPr="00237EE7">
        <w:rPr>
          <w:rFonts w:ascii="Times New Roman" w:eastAsia="Times New Roman" w:hAnsi="Times New Roman" w:cs="Times New Roman"/>
          <w:sz w:val="24"/>
          <w:szCs w:val="24"/>
        </w:rPr>
        <w:t>. Споразумение за партньорство (ако е приложимо)</w:t>
      </w:r>
      <w:r w:rsidR="00237EE7">
        <w:rPr>
          <w:rFonts w:ascii="Times New Roman" w:eastAsia="Times New Roman" w:hAnsi="Times New Roman" w:cs="Times New Roman"/>
          <w:sz w:val="24"/>
          <w:szCs w:val="24"/>
        </w:rPr>
        <w:t>;</w:t>
      </w:r>
    </w:p>
    <w:p w14:paraId="0E22AFE3" w14:textId="08879653" w:rsidR="0017531C"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14:paraId="04AC9369" w14:textId="1DBAD00D" w:rsidR="00742AB0" w:rsidRDefault="00C65FE4" w:rsidP="00D770FA">
      <w:pPr>
        <w:spacing w:after="0" w:line="240" w:lineRule="auto"/>
        <w:ind w:left="567"/>
        <w:jc w:val="both"/>
        <w:rPr>
          <w:rFonts w:ascii="Times New Roman" w:eastAsia="Times New Roman" w:hAnsi="Times New Roman" w:cs="Times New Roman"/>
          <w:sz w:val="24"/>
          <w:szCs w:val="24"/>
        </w:rPr>
      </w:pPr>
      <w:r w:rsidRPr="00C65FE4">
        <w:rPr>
          <w:rFonts w:ascii="Times New Roman" w:eastAsia="Times New Roman" w:hAnsi="Times New Roman" w:cs="Times New Roman"/>
          <w:sz w:val="24"/>
          <w:szCs w:val="24"/>
        </w:rPr>
        <w:t>4. Проектобюджет (ако е приложимо).</w:t>
      </w:r>
    </w:p>
    <w:p w14:paraId="22CC4663" w14:textId="77777777" w:rsidR="00C65FE4" w:rsidRDefault="00C65FE4" w:rsidP="00D770FA">
      <w:pPr>
        <w:spacing w:after="0" w:line="240" w:lineRule="auto"/>
        <w:ind w:left="567"/>
        <w:jc w:val="both"/>
        <w:rPr>
          <w:rFonts w:ascii="Times New Roman" w:eastAsia="Times New Roman" w:hAnsi="Times New Roman" w:cs="Times New Roman"/>
          <w:sz w:val="24"/>
          <w:szCs w:val="24"/>
        </w:rPr>
      </w:pPr>
    </w:p>
    <w:p w14:paraId="172E8C7E" w14:textId="77777777" w:rsidR="005A3F84" w:rsidRPr="005A3F84" w:rsidRDefault="005A3F84" w:rsidP="005A3F84">
      <w:pPr>
        <w:spacing w:after="360" w:line="240" w:lineRule="auto"/>
        <w:jc w:val="both"/>
        <w:rPr>
          <w:rFonts w:ascii="Times New Roman" w:eastAsia="Times New Roman" w:hAnsi="Times New Roman" w:cs="Times New Roman"/>
          <w:sz w:val="24"/>
          <w:szCs w:val="24"/>
        </w:rPr>
      </w:pPr>
      <w:r w:rsidRPr="005A3F84">
        <w:rPr>
          <w:rFonts w:ascii="Times New Roman" w:eastAsia="Times New Roman" w:hAnsi="Times New Roman" w:cs="Times New Roman"/>
          <w:sz w:val="24"/>
          <w:szCs w:val="24"/>
        </w:rPr>
        <w:t>7.Допълнителни разпоредби:</w:t>
      </w:r>
    </w:p>
    <w:p w14:paraId="4EC7953F" w14:textId="7EF7266C" w:rsidR="005A3F84" w:rsidRDefault="005A3F84" w:rsidP="005A3F84">
      <w:pPr>
        <w:spacing w:after="360" w:line="240" w:lineRule="auto"/>
        <w:jc w:val="both"/>
        <w:rPr>
          <w:rFonts w:ascii="Times New Roman" w:eastAsia="Times New Roman" w:hAnsi="Times New Roman" w:cs="Times New Roman"/>
          <w:sz w:val="24"/>
          <w:szCs w:val="24"/>
        </w:rPr>
      </w:pPr>
      <w:r w:rsidRPr="005A3F84">
        <w:rPr>
          <w:rFonts w:ascii="Times New Roman" w:eastAsia="Times New Roman" w:hAnsi="Times New Roman" w:cs="Times New Roman"/>
          <w:sz w:val="24"/>
          <w:szCs w:val="24"/>
        </w:rPr>
        <w:t>Администратор на минимални помощи по настоящия договор е Министерство на труда и социалната политика, в качеството си на Управляващ орган на Оперативна програма „Развитие на човешките ресурси“</w:t>
      </w:r>
      <w:r>
        <w:rPr>
          <w:rFonts w:ascii="Times New Roman" w:eastAsia="Times New Roman" w:hAnsi="Times New Roman" w:cs="Times New Roman"/>
          <w:sz w:val="24"/>
          <w:szCs w:val="24"/>
        </w:rPr>
        <w:t>.</w:t>
      </w:r>
    </w:p>
    <w:p w14:paraId="4B0559C5" w14:textId="77777777" w:rsidR="00521962" w:rsidRDefault="00521962" w:rsidP="00B94C19">
      <w:pPr>
        <w:spacing w:after="360" w:line="240" w:lineRule="auto"/>
        <w:jc w:val="both"/>
        <w:rPr>
          <w:rFonts w:ascii="Times New Roman" w:eastAsia="Times New Roman" w:hAnsi="Times New Roman" w:cs="Times New Roman"/>
          <w:sz w:val="24"/>
          <w:szCs w:val="24"/>
        </w:rPr>
      </w:pPr>
    </w:p>
    <w:p w14:paraId="0882AE38" w14:textId="77777777"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2751AC04" w14:textId="77777777" w:rsidR="00521962" w:rsidRDefault="00521962" w:rsidP="004F73B1">
      <w:pPr>
        <w:rPr>
          <w:rFonts w:ascii="Times New Roman" w:eastAsia="Times New Roman" w:hAnsi="Times New Roman" w:cs="Times New Roman"/>
          <w:sz w:val="24"/>
          <w:szCs w:val="24"/>
        </w:rPr>
      </w:pPr>
    </w:p>
    <w:p w14:paraId="4622EFA2" w14:textId="30758595" w:rsidR="00510841" w:rsidRPr="004F73B1" w:rsidRDefault="00510841" w:rsidP="004F73B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Договорът </w:t>
      </w:r>
      <w:r w:rsidRPr="00521962">
        <w:rPr>
          <w:rFonts w:ascii="Times New Roman" w:eastAsia="Times New Roman" w:hAnsi="Times New Roman" w:cs="Times New Roman"/>
          <w:sz w:val="24"/>
          <w:szCs w:val="24"/>
        </w:rPr>
        <w:t xml:space="preserve"> влиза в сила след изтичане на срока за обжалването му. В случай</w:t>
      </w:r>
      <w:r w:rsidR="006C6541">
        <w:rPr>
          <w:rFonts w:ascii="Times New Roman" w:eastAsia="Times New Roman" w:hAnsi="Times New Roman" w:cs="Times New Roman"/>
          <w:sz w:val="24"/>
          <w:szCs w:val="24"/>
        </w:rPr>
        <w:t>,</w:t>
      </w:r>
      <w:r w:rsidRPr="00521962">
        <w:rPr>
          <w:rFonts w:ascii="Times New Roman" w:eastAsia="Times New Roman" w:hAnsi="Times New Roman" w:cs="Times New Roman"/>
          <w:sz w:val="24"/>
          <w:szCs w:val="24"/>
        </w:rPr>
        <w:t xml:space="preserve"> че </w:t>
      </w:r>
      <w:r>
        <w:rPr>
          <w:rFonts w:ascii="Times New Roman" w:eastAsia="Times New Roman" w:hAnsi="Times New Roman" w:cs="Times New Roman"/>
          <w:sz w:val="24"/>
          <w:szCs w:val="24"/>
        </w:rPr>
        <w:t xml:space="preserve">същият </w:t>
      </w:r>
      <w:r w:rsidRPr="00521962">
        <w:rPr>
          <w:rFonts w:ascii="Times New Roman" w:eastAsia="Times New Roman" w:hAnsi="Times New Roman" w:cs="Times New Roman"/>
          <w:sz w:val="24"/>
          <w:szCs w:val="24"/>
        </w:rPr>
        <w:t>е оспорен – от влизане в сила на съдебния акт.</w:t>
      </w:r>
    </w:p>
    <w:p w14:paraId="69F5A6C6" w14:textId="77777777" w:rsidR="00521962" w:rsidRDefault="00521962" w:rsidP="00B94C19">
      <w:pPr>
        <w:spacing w:before="80" w:after="240" w:line="240" w:lineRule="auto"/>
        <w:jc w:val="both"/>
        <w:rPr>
          <w:rFonts w:ascii="Times New Roman" w:eastAsia="Times New Roman" w:hAnsi="Times New Roman" w:cs="Times New Roman"/>
          <w:sz w:val="24"/>
          <w:szCs w:val="24"/>
          <w:lang w:eastAsia="fr-FR"/>
        </w:rPr>
      </w:pPr>
    </w:p>
    <w:p w14:paraId="566507AA" w14:textId="3F880105" w:rsidR="00247B4E"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sidRPr="00521962">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p>
    <w:p w14:paraId="07F7E08C" w14:textId="44AAAEEB" w:rsidR="00983945" w:rsidRPr="00F84A48" w:rsidRDefault="00983945" w:rsidP="00B94C19">
      <w:pPr>
        <w:spacing w:before="80" w:after="240" w:line="240" w:lineRule="auto"/>
        <w:jc w:val="both"/>
        <w:rPr>
          <w:rFonts w:ascii="Times New Roman" w:eastAsia="Times New Roman" w:hAnsi="Times New Roman" w:cs="Times New Roman"/>
          <w:sz w:val="24"/>
          <w:szCs w:val="24"/>
          <w:lang w:eastAsia="fr-FR"/>
        </w:rPr>
      </w:pPr>
      <w:r w:rsidRPr="00983945">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1155802D" w14:textId="35D6930A" w:rsidR="00C1581A"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lastRenderedPageBreak/>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sidR="006C6541">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Pr>
          <w:rFonts w:ascii="Times New Roman" w:eastAsia="Times New Roman" w:hAnsi="Times New Roman" w:cs="Times New Roman"/>
          <w:sz w:val="24"/>
          <w:szCs w:val="24"/>
          <w:lang w:eastAsia="fr-FR"/>
        </w:rPr>
        <w:t>.</w:t>
      </w:r>
    </w:p>
    <w:p w14:paraId="1E050E33" w14:textId="77777777"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14:paraId="1822F559" w14:textId="2F75D47A" w:rsidR="00DE6DFD" w:rsidRDefault="00DE6DFD" w:rsidP="00DE6DFD">
      <w:pPr>
        <w:spacing w:before="80" w:after="80" w:line="240" w:lineRule="auto"/>
        <w:rPr>
          <w:rFonts w:ascii="Times New Roman" w:eastAsia="Times New Roman" w:hAnsi="Times New Roman" w:cs="Times New Roman"/>
          <w:sz w:val="24"/>
          <w:szCs w:val="24"/>
          <w:lang w:eastAsia="fr-FR"/>
        </w:rPr>
      </w:pPr>
      <w:r w:rsidRPr="00521962">
        <w:rPr>
          <w:rFonts w:ascii="Times New Roman" w:eastAsia="Times New Roman" w:hAnsi="Times New Roman" w:cs="Times New Roman"/>
          <w:b/>
          <w:sz w:val="24"/>
          <w:szCs w:val="24"/>
          <w:lang w:eastAsia="fr-FR"/>
        </w:rPr>
        <w:softHyphen/>
      </w:r>
      <w:r w:rsidRPr="00521962">
        <w:rPr>
          <w:rFonts w:ascii="Times New Roman" w:eastAsia="Times New Roman" w:hAnsi="Times New Roman" w:cs="Times New Roman"/>
          <w:b/>
          <w:sz w:val="24"/>
          <w:szCs w:val="24"/>
          <w:lang w:eastAsia="fr-FR"/>
        </w:rPr>
        <w:softHyphen/>
      </w:r>
      <w:r w:rsidRPr="00521962">
        <w:rPr>
          <w:rFonts w:ascii="Times New Roman" w:eastAsia="Times New Roman" w:hAnsi="Times New Roman" w:cs="Times New Roman"/>
          <w:b/>
          <w:sz w:val="24"/>
          <w:szCs w:val="24"/>
          <w:vertAlign w:val="superscript"/>
          <w:lang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102B1740" w14:textId="77777777" w:rsidR="000C608A" w:rsidRPr="00EF440B" w:rsidRDefault="000C608A" w:rsidP="00CD28DE">
      <w:pPr>
        <w:spacing w:before="80" w:after="80" w:line="240" w:lineRule="auto"/>
        <w:rPr>
          <w:rFonts w:ascii="Times New Roman" w:eastAsia="Times New Roman" w:hAnsi="Times New Roman" w:cs="Times New Roman"/>
          <w:b/>
          <w:sz w:val="24"/>
          <w:szCs w:val="24"/>
          <w:lang w:eastAsia="fr-FR"/>
        </w:rPr>
      </w:pPr>
    </w:p>
    <w:p w14:paraId="6027A367"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6BB4864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078F2B4E"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1A7D121A"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4B2C1CDA"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765BB3E1"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3710B307"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16B0E9CA" w14:textId="77777777" w:rsidR="00734C9C" w:rsidRPr="00521962" w:rsidRDefault="00734C9C" w:rsidP="00734C9C">
      <w:pPr>
        <w:spacing w:after="0" w:line="240" w:lineRule="auto"/>
        <w:jc w:val="both"/>
        <w:rPr>
          <w:rFonts w:ascii="Times New Roman" w:eastAsia="Times New Roman" w:hAnsi="Times New Roman" w:cs="Times New Roman"/>
          <w:sz w:val="24"/>
          <w:szCs w:val="24"/>
        </w:rPr>
      </w:pPr>
    </w:p>
    <w:p w14:paraId="1C05A07C"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B94C19">
          <w:headerReference w:type="default" r:id="rId8"/>
          <w:footerReference w:type="default" r:id="rId9"/>
          <w:pgSz w:w="11906" w:h="16838"/>
          <w:pgMar w:top="993" w:right="1417" w:bottom="993" w:left="1417" w:header="142" w:footer="686" w:gutter="0"/>
          <w:cols w:space="708"/>
          <w:docGrid w:linePitch="360"/>
        </w:sectPr>
      </w:pPr>
    </w:p>
    <w:p w14:paraId="1EEA6E12" w14:textId="77777777" w:rsidR="00734C9C" w:rsidRPr="00521962"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28D64C9"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256027FF" w14:textId="77777777" w:rsidR="00734C9C" w:rsidRPr="00521962" w:rsidRDefault="00734C9C" w:rsidP="00734C9C">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4EB2538" w14:textId="77777777" w:rsidR="00734C9C" w:rsidRPr="00521962" w:rsidRDefault="00734C9C" w:rsidP="00734C9C">
      <w:pPr>
        <w:spacing w:before="60" w:after="60" w:line="240" w:lineRule="auto"/>
        <w:rPr>
          <w:rFonts w:ascii="Times New Roman" w:eastAsia="Times New Roman" w:hAnsi="Times New Roman" w:cs="Times New Roman"/>
          <w:b/>
          <w:sz w:val="24"/>
          <w:szCs w:val="24"/>
          <w:lang w:eastAsia="fr-FR"/>
        </w:rPr>
      </w:pPr>
    </w:p>
    <w:p w14:paraId="7BFFCF66" w14:textId="77777777" w:rsidR="00734C9C" w:rsidRPr="00521962"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521962">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1FC47837"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4F4488B5"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133D6079" w14:textId="34837DE3"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34AAB7D5" w14:textId="77777777"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096E3088" w14:textId="1A649074" w:rsidR="00B94C19" w:rsidRPr="00EF440B" w:rsidRDefault="00742AB0" w:rsidP="00B94C19">
      <w:pPr>
        <w:spacing w:before="80" w:after="80" w:line="240" w:lineRule="auto"/>
        <w:ind w:right="-142"/>
        <w:rPr>
          <w:rFonts w:ascii="Times New Roman" w:eastAsia="Times New Roman" w:hAnsi="Times New Roman" w:cs="Times New Roman"/>
          <w:b/>
          <w:sz w:val="24"/>
          <w:szCs w:val="24"/>
          <w:lang w:eastAsia="fr-FR"/>
        </w:rPr>
      </w:pPr>
      <w:r w:rsidRPr="00742AB0">
        <w:rPr>
          <w:rFonts w:ascii="Times New Roman" w:eastAsia="Times New Roman" w:hAnsi="Times New Roman" w:cs="Times New Roman"/>
          <w:b/>
          <w:sz w:val="24"/>
          <w:szCs w:val="24"/>
          <w:lang w:eastAsia="fr-FR"/>
        </w:rPr>
        <w:t>ПРЕДСТАВЛЯВАЩ МИГ</w:t>
      </w:r>
      <w:r w:rsidR="00B94C19" w:rsidRPr="00EF440B">
        <w:rPr>
          <w:rFonts w:ascii="Times New Roman" w:eastAsia="Times New Roman" w:hAnsi="Times New Roman" w:cs="Times New Roman"/>
          <w:b/>
          <w:sz w:val="24"/>
          <w:szCs w:val="24"/>
          <w:lang w:eastAsia="fr-FR"/>
        </w:rPr>
        <w:tab/>
      </w:r>
    </w:p>
    <w:p w14:paraId="63488541" w14:textId="77777777" w:rsidR="00B94C19" w:rsidRDefault="00B94C19" w:rsidP="00B94C19">
      <w:pPr>
        <w:spacing w:before="80" w:after="80" w:line="240" w:lineRule="auto"/>
        <w:rPr>
          <w:rFonts w:ascii="Times New Roman" w:eastAsia="Times New Roman" w:hAnsi="Times New Roman" w:cs="Times New Roman"/>
          <w:b/>
          <w:sz w:val="24"/>
          <w:szCs w:val="24"/>
          <w:lang w:eastAsia="fr-FR"/>
        </w:rPr>
      </w:pPr>
    </w:p>
    <w:p w14:paraId="702D0320" w14:textId="77777777"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09DDCDC7" w14:textId="77777777"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1D2BF52E" w14:textId="77777777"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3A69ADCB" w14:textId="77777777"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33D148C"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594A037E"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0"/>
          <w:footerReference w:type="default" r:id="rId11"/>
          <w:type w:val="continuous"/>
          <w:pgSz w:w="11906" w:h="16838"/>
          <w:pgMar w:top="993" w:right="1417" w:bottom="993" w:left="1417" w:header="142" w:footer="686" w:gutter="0"/>
          <w:cols w:space="708"/>
          <w:docGrid w:linePitch="360"/>
        </w:sectPr>
      </w:pPr>
    </w:p>
    <w:p w14:paraId="0774E14E"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D6E249" w14:textId="77777777" w:rsidR="00D8534B" w:rsidRDefault="00D8534B" w:rsidP="0056023B">
      <w:pPr>
        <w:spacing w:after="0" w:line="240" w:lineRule="auto"/>
      </w:pPr>
      <w:r>
        <w:separator/>
      </w:r>
    </w:p>
  </w:endnote>
  <w:endnote w:type="continuationSeparator" w:id="0">
    <w:p w14:paraId="02E165D8" w14:textId="77777777" w:rsidR="00D8534B" w:rsidRDefault="00D8534B"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20308"/>
      <w:docPartObj>
        <w:docPartGallery w:val="Page Numbers (Bottom of Page)"/>
        <w:docPartUnique/>
      </w:docPartObj>
    </w:sdtPr>
    <w:sdtEndPr>
      <w:rPr>
        <w:noProof/>
      </w:rPr>
    </w:sdtEndPr>
    <w:sdtContent>
      <w:p w14:paraId="2548DFA8" w14:textId="1EC4D5BD" w:rsidR="00EF71CA" w:rsidRDefault="00EF71CA" w:rsidP="00B94C19">
        <w:pPr>
          <w:pStyle w:val="af3"/>
          <w:jc w:val="right"/>
        </w:pPr>
        <w:r>
          <w:fldChar w:fldCharType="begin"/>
        </w:r>
        <w:r>
          <w:instrText xml:space="preserve"> PAGE   \* MERGEFORMAT </w:instrText>
        </w:r>
        <w:r>
          <w:fldChar w:fldCharType="separate"/>
        </w:r>
        <w:r w:rsidR="00670177">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12531"/>
      <w:docPartObj>
        <w:docPartGallery w:val="Page Numbers (Bottom of Page)"/>
        <w:docPartUnique/>
      </w:docPartObj>
    </w:sdtPr>
    <w:sdtEndPr>
      <w:rPr>
        <w:noProof/>
      </w:rPr>
    </w:sdtEndPr>
    <w:sdtContent>
      <w:p w14:paraId="0705AFC8" w14:textId="670E7F10" w:rsidR="00B94C19" w:rsidRDefault="00B94C19" w:rsidP="00B94C19">
        <w:pPr>
          <w:pStyle w:val="af3"/>
          <w:jc w:val="right"/>
        </w:pPr>
        <w:r>
          <w:fldChar w:fldCharType="begin"/>
        </w:r>
        <w:r>
          <w:instrText xml:space="preserve"> PAGE   \* MERGEFORMAT </w:instrText>
        </w:r>
        <w:r>
          <w:fldChar w:fldCharType="separate"/>
        </w:r>
        <w:r w:rsidR="00521962">
          <w:rPr>
            <w:noProof/>
          </w:rPr>
          <w:t>26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95B7DD" w14:textId="77777777" w:rsidR="00D8534B" w:rsidRDefault="00D8534B" w:rsidP="0056023B">
      <w:pPr>
        <w:spacing w:after="0" w:line="240" w:lineRule="auto"/>
      </w:pPr>
      <w:r>
        <w:separator/>
      </w:r>
    </w:p>
  </w:footnote>
  <w:footnote w:type="continuationSeparator" w:id="0">
    <w:p w14:paraId="718135AE" w14:textId="77777777" w:rsidR="00D8534B" w:rsidRDefault="00D8534B" w:rsidP="0056023B">
      <w:pPr>
        <w:spacing w:after="0" w:line="240" w:lineRule="auto"/>
      </w:pPr>
      <w:r>
        <w:continuationSeparator/>
      </w:r>
    </w:p>
  </w:footnote>
  <w:footnote w:id="1">
    <w:p w14:paraId="1D79C7B4" w14:textId="77777777" w:rsidR="00BF52FA" w:rsidRPr="00450EA7" w:rsidRDefault="00BF52FA"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1A6FC" w14:textId="467F7150" w:rsidR="006C186F" w:rsidRDefault="006C186F" w:rsidP="006C186F">
    <w:pPr>
      <w:pStyle w:val="af1"/>
      <w:tabs>
        <w:tab w:val="left" w:pos="375"/>
        <w:tab w:val="center" w:pos="4960"/>
      </w:tabs>
      <w:jc w:val="center"/>
      <w:rPr>
        <w:rFonts w:ascii="Times New Roman" w:hAnsi="Times New Roman" w:cs="Times New Roman"/>
        <w:b/>
        <w:color w:val="7F7F7F" w:themeColor="text1" w:themeTint="80"/>
        <w:sz w:val="32"/>
        <w:szCs w:val="32"/>
      </w:rPr>
    </w:pPr>
    <w:r w:rsidRPr="006C186F">
      <w:rPr>
        <w:rFonts w:ascii="Times New Roman" w:hAnsi="Times New Roman" w:cs="Times New Roman"/>
        <w:b/>
        <w:color w:val="7F7F7F" w:themeColor="text1" w:themeTint="80"/>
        <w:sz w:val="32"/>
        <w:szCs w:val="32"/>
      </w:rPr>
      <w:t xml:space="preserve"> </w:t>
    </w:r>
  </w:p>
  <w:p w14:paraId="4465B184" w14:textId="22ACBF15" w:rsidR="006C186F" w:rsidRDefault="006C186F" w:rsidP="006C186F">
    <w:pPr>
      <w:pStyle w:val="af1"/>
      <w:tabs>
        <w:tab w:val="left" w:pos="375"/>
        <w:tab w:val="center" w:pos="4960"/>
      </w:tabs>
      <w:jc w:val="center"/>
      <w:rPr>
        <w:rFonts w:ascii="Times New Roman" w:hAnsi="Times New Roman" w:cs="Times New Roman"/>
        <w:b/>
        <w:color w:val="7F7F7F" w:themeColor="text1" w:themeTint="80"/>
        <w:sz w:val="32"/>
        <w:szCs w:val="32"/>
      </w:rPr>
    </w:pPr>
    <w:r>
      <w:rPr>
        <w:rFonts w:ascii="Times New Roman" w:eastAsia="Times New Roman" w:hAnsi="Times New Roman" w:cs="Times New Roman"/>
        <w:noProof/>
        <w:sz w:val="20"/>
        <w:szCs w:val="20"/>
        <w:lang w:eastAsia="bg-BG"/>
      </w:rPr>
      <w:drawing>
        <wp:anchor distT="0" distB="0" distL="114300" distR="114300" simplePos="0" relativeHeight="251659264" behindDoc="0" locked="0" layoutInCell="1" allowOverlap="1" wp14:anchorId="10875592" wp14:editId="45076844">
          <wp:simplePos x="0" y="0"/>
          <wp:positionH relativeFrom="margin">
            <wp:align>right</wp:align>
          </wp:positionH>
          <wp:positionV relativeFrom="margin">
            <wp:posOffset>-1267254</wp:posOffset>
          </wp:positionV>
          <wp:extent cx="1011555" cy="8655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anchor>
      </w:drawing>
    </w:r>
    <w:r>
      <w:rPr>
        <w:rFonts w:ascii="Times New Roman" w:eastAsia="Times New Roman" w:hAnsi="Times New Roman" w:cs="Times New Roman"/>
        <w:noProof/>
        <w:sz w:val="24"/>
        <w:szCs w:val="20"/>
        <w:lang w:eastAsia="bg-BG"/>
      </w:rPr>
      <w:drawing>
        <wp:anchor distT="0" distB="0" distL="114300" distR="114300" simplePos="0" relativeHeight="251658240" behindDoc="0" locked="0" layoutInCell="1" allowOverlap="1" wp14:anchorId="00F21633" wp14:editId="04A6E574">
          <wp:simplePos x="0" y="0"/>
          <wp:positionH relativeFrom="margin">
            <wp:align>left</wp:align>
          </wp:positionH>
          <wp:positionV relativeFrom="margin">
            <wp:posOffset>-1383322</wp:posOffset>
          </wp:positionV>
          <wp:extent cx="1002030" cy="104076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anchor>
      </w:drawing>
    </w:r>
  </w:p>
  <w:p w14:paraId="63731B16" w14:textId="368836D8" w:rsidR="006C186F" w:rsidRDefault="006C186F" w:rsidP="006C186F">
    <w:pPr>
      <w:pStyle w:val="af1"/>
      <w:tabs>
        <w:tab w:val="left" w:pos="375"/>
        <w:tab w:val="center" w:pos="4960"/>
      </w:tabs>
      <w:jc w:val="center"/>
      <w:rPr>
        <w:noProof/>
        <w:sz w:val="20"/>
        <w:lang w:eastAsia="bg-BG"/>
      </w:rPr>
    </w:pPr>
    <w:r w:rsidRPr="00AF5CC7">
      <w:rPr>
        <w:rFonts w:ascii="Times New Roman" w:hAnsi="Times New Roman" w:cs="Times New Roman"/>
        <w:b/>
        <w:color w:val="7F7F7F" w:themeColor="text1" w:themeTint="80"/>
        <w:sz w:val="32"/>
        <w:szCs w:val="32"/>
      </w:rPr>
      <w:t xml:space="preserve">МИГ </w:t>
    </w:r>
    <w:r>
      <w:rPr>
        <w:rFonts w:ascii="Times New Roman" w:hAnsi="Times New Roman" w:cs="Times New Roman"/>
        <w:b/>
        <w:color w:val="7F7F7F" w:themeColor="text1" w:themeTint="80"/>
        <w:sz w:val="32"/>
        <w:szCs w:val="32"/>
      </w:rPr>
      <w:t>–</w:t>
    </w:r>
    <w:r w:rsidRPr="00AF5CC7">
      <w:rPr>
        <w:rFonts w:ascii="Times New Roman" w:hAnsi="Times New Roman" w:cs="Times New Roman"/>
        <w:b/>
        <w:color w:val="7F7F7F" w:themeColor="text1" w:themeTint="80"/>
        <w:sz w:val="32"/>
        <w:szCs w:val="32"/>
      </w:rPr>
      <w:t xml:space="preserve"> ПОМОРИЕ</w:t>
    </w:r>
  </w:p>
  <w:p w14:paraId="51E2F44E" w14:textId="2C9894A4" w:rsidR="006C186F" w:rsidRDefault="006C186F" w:rsidP="006C186F">
    <w:pPr>
      <w:pStyle w:val="af1"/>
      <w:tabs>
        <w:tab w:val="left" w:pos="375"/>
        <w:tab w:val="center" w:pos="4960"/>
      </w:tabs>
      <w:jc w:val="center"/>
      <w:rPr>
        <w:noProof/>
        <w:sz w:val="20"/>
        <w:lang w:eastAsia="bg-BG"/>
      </w:rPr>
    </w:pPr>
  </w:p>
  <w:p w14:paraId="0AC341F6" w14:textId="0701E578" w:rsidR="006C186F" w:rsidRDefault="006C186F" w:rsidP="006C186F">
    <w:pPr>
      <w:pStyle w:val="af1"/>
      <w:tabs>
        <w:tab w:val="left" w:pos="375"/>
        <w:tab w:val="center" w:pos="4960"/>
      </w:tabs>
      <w:jc w:val="center"/>
      <w:rPr>
        <w:rFonts w:ascii="Times New Roman" w:hAnsi="Times New Roman" w:cs="Times New Roman"/>
        <w:b/>
        <w:i/>
        <w:iCs/>
        <w:color w:val="7F7F7F" w:themeColor="text1" w:themeTint="80"/>
        <w:sz w:val="20"/>
        <w:szCs w:val="20"/>
      </w:rPr>
    </w:pPr>
    <w:r w:rsidRPr="00BD49D7">
      <w:rPr>
        <w:rFonts w:ascii="Times New Roman" w:hAnsi="Times New Roman" w:cs="Times New Roman"/>
        <w:b/>
        <w:i/>
        <w:iCs/>
        <w:color w:val="7F7F7F" w:themeColor="text1" w:themeTint="80"/>
        <w:sz w:val="20"/>
        <w:szCs w:val="20"/>
      </w:rPr>
      <w:t>8200 гр. Поморие, Микропазар Хлебозавода,</w:t>
    </w:r>
  </w:p>
  <w:p w14:paraId="7FC623E0" w14:textId="77777777" w:rsidR="006C186F" w:rsidRDefault="006C186F" w:rsidP="006C186F">
    <w:pPr>
      <w:pStyle w:val="af1"/>
      <w:tabs>
        <w:tab w:val="left" w:pos="2580"/>
        <w:tab w:val="left" w:pos="2985"/>
      </w:tabs>
      <w:spacing w:line="276" w:lineRule="auto"/>
      <w:jc w:val="center"/>
      <w:rPr>
        <w:b/>
        <w:i/>
        <w:iCs/>
        <w:color w:val="7F7F7F" w:themeColor="text1" w:themeTint="80"/>
        <w:sz w:val="20"/>
      </w:rPr>
    </w:pPr>
    <w:r w:rsidRPr="00BD49D7">
      <w:rPr>
        <w:rFonts w:ascii="Times New Roman" w:hAnsi="Times New Roman" w:cs="Times New Roman"/>
        <w:b/>
        <w:i/>
        <w:iCs/>
        <w:color w:val="7F7F7F" w:themeColor="text1" w:themeTint="80"/>
        <w:sz w:val="20"/>
        <w:szCs w:val="20"/>
      </w:rPr>
      <w:t xml:space="preserve"> ул.”Княз Борис I” № 96A,</w:t>
    </w:r>
  </w:p>
  <w:p w14:paraId="0C47ACB1" w14:textId="2D1325E6" w:rsidR="00B6182B" w:rsidRDefault="006C186F" w:rsidP="006C186F">
    <w:pPr>
      <w:widowControl w:val="0"/>
      <w:pBdr>
        <w:bottom w:val="double" w:sz="4" w:space="1" w:color="auto"/>
      </w:pBdr>
      <w:tabs>
        <w:tab w:val="center" w:pos="4536"/>
        <w:tab w:val="right" w:pos="9072"/>
      </w:tabs>
      <w:autoSpaceDE w:val="0"/>
      <w:autoSpaceDN w:val="0"/>
      <w:adjustRightInd w:val="0"/>
      <w:spacing w:after="0" w:line="240" w:lineRule="auto"/>
      <w:jc w:val="center"/>
      <w:rPr>
        <w:rStyle w:val="a3"/>
        <w:rFonts w:ascii="Times New Roman" w:hAnsi="Times New Roman" w:cs="Times New Roman"/>
        <w:b/>
        <w:sz w:val="20"/>
        <w:szCs w:val="20"/>
      </w:rPr>
    </w:pPr>
    <w:r w:rsidRPr="00BD49D7">
      <w:rPr>
        <w:rFonts w:ascii="Times New Roman" w:hAnsi="Times New Roman" w:cs="Times New Roman"/>
        <w:b/>
        <w:i/>
        <w:iCs/>
        <w:color w:val="7F7F7F" w:themeColor="text1" w:themeTint="80"/>
        <w:sz w:val="20"/>
        <w:szCs w:val="20"/>
      </w:rPr>
      <w:t xml:space="preserve">e-mail: office@mig-pomorie.eu, </w:t>
    </w:r>
    <w:hyperlink r:id="rId3" w:history="1">
      <w:r w:rsidRPr="00BD49D7">
        <w:rPr>
          <w:rStyle w:val="a3"/>
          <w:rFonts w:ascii="Times New Roman" w:hAnsi="Times New Roman" w:cs="Times New Roman"/>
          <w:b/>
          <w:sz w:val="20"/>
          <w:szCs w:val="20"/>
        </w:rPr>
        <w:t>www.mig-pomorie.eu</w:t>
      </w:r>
    </w:hyperlink>
  </w:p>
  <w:p w14:paraId="4EEE4C28" w14:textId="77777777" w:rsidR="006C186F" w:rsidRPr="00B6182B" w:rsidRDefault="006C186F" w:rsidP="006C186F">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p>
  <w:p w14:paraId="34B8B986" w14:textId="4492BDE7" w:rsidR="00B6182B" w:rsidRDefault="00B6182B">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15:restartNumberingAfterBreak="0">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15:restartNumberingAfterBreak="0">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15:restartNumberingAfterBreak="0">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5AF7"/>
    <w:rsid w:val="0003702D"/>
    <w:rsid w:val="00046B1F"/>
    <w:rsid w:val="00047044"/>
    <w:rsid w:val="000521FB"/>
    <w:rsid w:val="0005368C"/>
    <w:rsid w:val="00056E27"/>
    <w:rsid w:val="0006505F"/>
    <w:rsid w:val="00067BD1"/>
    <w:rsid w:val="00082379"/>
    <w:rsid w:val="000A6623"/>
    <w:rsid w:val="000B0FAB"/>
    <w:rsid w:val="000B6322"/>
    <w:rsid w:val="000B723D"/>
    <w:rsid w:val="000B7C66"/>
    <w:rsid w:val="000C4E97"/>
    <w:rsid w:val="000C5859"/>
    <w:rsid w:val="000C608A"/>
    <w:rsid w:val="000D5187"/>
    <w:rsid w:val="000E1842"/>
    <w:rsid w:val="000E2CDB"/>
    <w:rsid w:val="000F6CE0"/>
    <w:rsid w:val="00104BA1"/>
    <w:rsid w:val="00107F0D"/>
    <w:rsid w:val="00111FBA"/>
    <w:rsid w:val="0011469D"/>
    <w:rsid w:val="0012034B"/>
    <w:rsid w:val="00123C46"/>
    <w:rsid w:val="00123E22"/>
    <w:rsid w:val="00125738"/>
    <w:rsid w:val="00131CD0"/>
    <w:rsid w:val="00142C40"/>
    <w:rsid w:val="001455CE"/>
    <w:rsid w:val="00150EA2"/>
    <w:rsid w:val="00152261"/>
    <w:rsid w:val="00162EAC"/>
    <w:rsid w:val="001676E7"/>
    <w:rsid w:val="00170486"/>
    <w:rsid w:val="00171E61"/>
    <w:rsid w:val="00172D04"/>
    <w:rsid w:val="001751BB"/>
    <w:rsid w:val="0017531C"/>
    <w:rsid w:val="001819C6"/>
    <w:rsid w:val="0018291D"/>
    <w:rsid w:val="00183436"/>
    <w:rsid w:val="00190F36"/>
    <w:rsid w:val="00193C2A"/>
    <w:rsid w:val="00194E9A"/>
    <w:rsid w:val="001B1C98"/>
    <w:rsid w:val="001B2A95"/>
    <w:rsid w:val="001B761A"/>
    <w:rsid w:val="001C293A"/>
    <w:rsid w:val="001C34A8"/>
    <w:rsid w:val="001C7BD7"/>
    <w:rsid w:val="001C7F23"/>
    <w:rsid w:val="001D091A"/>
    <w:rsid w:val="001D3D12"/>
    <w:rsid w:val="001D7D8A"/>
    <w:rsid w:val="001F2B58"/>
    <w:rsid w:val="001F4B15"/>
    <w:rsid w:val="001F7E3D"/>
    <w:rsid w:val="002016C2"/>
    <w:rsid w:val="002040AE"/>
    <w:rsid w:val="00206167"/>
    <w:rsid w:val="00212DD5"/>
    <w:rsid w:val="00214D8C"/>
    <w:rsid w:val="00216A9B"/>
    <w:rsid w:val="00224806"/>
    <w:rsid w:val="002260CA"/>
    <w:rsid w:val="0022769E"/>
    <w:rsid w:val="0023389B"/>
    <w:rsid w:val="00234908"/>
    <w:rsid w:val="00237EE7"/>
    <w:rsid w:val="00246E56"/>
    <w:rsid w:val="00247B4E"/>
    <w:rsid w:val="0025363E"/>
    <w:rsid w:val="00254F5E"/>
    <w:rsid w:val="002668DA"/>
    <w:rsid w:val="00272925"/>
    <w:rsid w:val="0027336A"/>
    <w:rsid w:val="002822F6"/>
    <w:rsid w:val="0028551E"/>
    <w:rsid w:val="0028678C"/>
    <w:rsid w:val="002902E7"/>
    <w:rsid w:val="00292054"/>
    <w:rsid w:val="00295361"/>
    <w:rsid w:val="002A3E0C"/>
    <w:rsid w:val="002B373B"/>
    <w:rsid w:val="002B6FB4"/>
    <w:rsid w:val="002C5E60"/>
    <w:rsid w:val="002C76A9"/>
    <w:rsid w:val="002D1F36"/>
    <w:rsid w:val="002D44BD"/>
    <w:rsid w:val="002D5859"/>
    <w:rsid w:val="002E272F"/>
    <w:rsid w:val="002E6971"/>
    <w:rsid w:val="002F0723"/>
    <w:rsid w:val="002F0AAE"/>
    <w:rsid w:val="002F13B1"/>
    <w:rsid w:val="002F2B6C"/>
    <w:rsid w:val="002F2F1E"/>
    <w:rsid w:val="002F5CE1"/>
    <w:rsid w:val="00303FBF"/>
    <w:rsid w:val="003046FC"/>
    <w:rsid w:val="0032598E"/>
    <w:rsid w:val="00330440"/>
    <w:rsid w:val="00333F5C"/>
    <w:rsid w:val="003451FF"/>
    <w:rsid w:val="00353E21"/>
    <w:rsid w:val="00360405"/>
    <w:rsid w:val="00365296"/>
    <w:rsid w:val="00366AB1"/>
    <w:rsid w:val="00375104"/>
    <w:rsid w:val="003915C5"/>
    <w:rsid w:val="0039343C"/>
    <w:rsid w:val="00396DDE"/>
    <w:rsid w:val="003A4621"/>
    <w:rsid w:val="003A48CC"/>
    <w:rsid w:val="003B07BF"/>
    <w:rsid w:val="003D0B46"/>
    <w:rsid w:val="003D1EC7"/>
    <w:rsid w:val="003D79E5"/>
    <w:rsid w:val="003D7D7C"/>
    <w:rsid w:val="003E330D"/>
    <w:rsid w:val="003E3B84"/>
    <w:rsid w:val="003F3625"/>
    <w:rsid w:val="003F3CFE"/>
    <w:rsid w:val="003F41B4"/>
    <w:rsid w:val="0040042A"/>
    <w:rsid w:val="0041449E"/>
    <w:rsid w:val="00415C21"/>
    <w:rsid w:val="00421149"/>
    <w:rsid w:val="00427FD1"/>
    <w:rsid w:val="00451E15"/>
    <w:rsid w:val="00452FDE"/>
    <w:rsid w:val="00454F6B"/>
    <w:rsid w:val="00463785"/>
    <w:rsid w:val="00463A2A"/>
    <w:rsid w:val="00465BAD"/>
    <w:rsid w:val="004665A3"/>
    <w:rsid w:val="00472A46"/>
    <w:rsid w:val="004777CA"/>
    <w:rsid w:val="0048577D"/>
    <w:rsid w:val="00487A75"/>
    <w:rsid w:val="004910FE"/>
    <w:rsid w:val="004A12C4"/>
    <w:rsid w:val="004A15C3"/>
    <w:rsid w:val="004B1251"/>
    <w:rsid w:val="004B13FF"/>
    <w:rsid w:val="004C1F28"/>
    <w:rsid w:val="004E7818"/>
    <w:rsid w:val="004F73B1"/>
    <w:rsid w:val="00501A69"/>
    <w:rsid w:val="00510841"/>
    <w:rsid w:val="00520B76"/>
    <w:rsid w:val="00521962"/>
    <w:rsid w:val="00524564"/>
    <w:rsid w:val="00527C40"/>
    <w:rsid w:val="00531D46"/>
    <w:rsid w:val="00534B50"/>
    <w:rsid w:val="0053669D"/>
    <w:rsid w:val="005419B6"/>
    <w:rsid w:val="00542084"/>
    <w:rsid w:val="00542660"/>
    <w:rsid w:val="0055196B"/>
    <w:rsid w:val="0055392D"/>
    <w:rsid w:val="00554E08"/>
    <w:rsid w:val="0056023B"/>
    <w:rsid w:val="00596D85"/>
    <w:rsid w:val="005A1879"/>
    <w:rsid w:val="005A3F7A"/>
    <w:rsid w:val="005A3F84"/>
    <w:rsid w:val="005A4165"/>
    <w:rsid w:val="005B0430"/>
    <w:rsid w:val="005B516F"/>
    <w:rsid w:val="005B5285"/>
    <w:rsid w:val="005B5CDB"/>
    <w:rsid w:val="005B72DB"/>
    <w:rsid w:val="005C55C1"/>
    <w:rsid w:val="005D25DA"/>
    <w:rsid w:val="005E7CBA"/>
    <w:rsid w:val="00602AAC"/>
    <w:rsid w:val="00605054"/>
    <w:rsid w:val="00607E87"/>
    <w:rsid w:val="006145A4"/>
    <w:rsid w:val="0063026E"/>
    <w:rsid w:val="006361D2"/>
    <w:rsid w:val="006402D8"/>
    <w:rsid w:val="006450BC"/>
    <w:rsid w:val="0065504A"/>
    <w:rsid w:val="00664A11"/>
    <w:rsid w:val="00670177"/>
    <w:rsid w:val="00675448"/>
    <w:rsid w:val="0067590E"/>
    <w:rsid w:val="0067637A"/>
    <w:rsid w:val="0068274B"/>
    <w:rsid w:val="00683E00"/>
    <w:rsid w:val="00691F90"/>
    <w:rsid w:val="00697D0C"/>
    <w:rsid w:val="006A408A"/>
    <w:rsid w:val="006A4F08"/>
    <w:rsid w:val="006A5ABD"/>
    <w:rsid w:val="006B369A"/>
    <w:rsid w:val="006C01A7"/>
    <w:rsid w:val="006C068B"/>
    <w:rsid w:val="006C186F"/>
    <w:rsid w:val="006C6541"/>
    <w:rsid w:val="006C7193"/>
    <w:rsid w:val="006D0774"/>
    <w:rsid w:val="006D3FF3"/>
    <w:rsid w:val="006E1A3A"/>
    <w:rsid w:val="006E4C68"/>
    <w:rsid w:val="006E5C42"/>
    <w:rsid w:val="006E7120"/>
    <w:rsid w:val="006E7D21"/>
    <w:rsid w:val="006F03C7"/>
    <w:rsid w:val="006F0C29"/>
    <w:rsid w:val="006F18E4"/>
    <w:rsid w:val="006F6DD0"/>
    <w:rsid w:val="00702F15"/>
    <w:rsid w:val="00714268"/>
    <w:rsid w:val="007255EF"/>
    <w:rsid w:val="00726B79"/>
    <w:rsid w:val="007279DA"/>
    <w:rsid w:val="00732337"/>
    <w:rsid w:val="00732A85"/>
    <w:rsid w:val="0073351F"/>
    <w:rsid w:val="00734C9C"/>
    <w:rsid w:val="00736656"/>
    <w:rsid w:val="00737D40"/>
    <w:rsid w:val="007417D9"/>
    <w:rsid w:val="00742AB0"/>
    <w:rsid w:val="0074464F"/>
    <w:rsid w:val="0075274F"/>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15C3"/>
    <w:rsid w:val="007B1C5D"/>
    <w:rsid w:val="007B2445"/>
    <w:rsid w:val="007B4931"/>
    <w:rsid w:val="007C1705"/>
    <w:rsid w:val="007C1FF6"/>
    <w:rsid w:val="007D2E84"/>
    <w:rsid w:val="007D3187"/>
    <w:rsid w:val="007F104B"/>
    <w:rsid w:val="007F7EF7"/>
    <w:rsid w:val="008009E5"/>
    <w:rsid w:val="00805E1F"/>
    <w:rsid w:val="00821E5D"/>
    <w:rsid w:val="00827227"/>
    <w:rsid w:val="00831190"/>
    <w:rsid w:val="00832466"/>
    <w:rsid w:val="00832C3A"/>
    <w:rsid w:val="00833BCD"/>
    <w:rsid w:val="008369B7"/>
    <w:rsid w:val="00846DEE"/>
    <w:rsid w:val="00847F42"/>
    <w:rsid w:val="008530CE"/>
    <w:rsid w:val="00854B99"/>
    <w:rsid w:val="008566F5"/>
    <w:rsid w:val="00864E50"/>
    <w:rsid w:val="0089207C"/>
    <w:rsid w:val="00896F36"/>
    <w:rsid w:val="008C4853"/>
    <w:rsid w:val="008C4F14"/>
    <w:rsid w:val="008C7590"/>
    <w:rsid w:val="008C7E2A"/>
    <w:rsid w:val="008D16C0"/>
    <w:rsid w:val="008D7FC3"/>
    <w:rsid w:val="008E2677"/>
    <w:rsid w:val="008E3DD6"/>
    <w:rsid w:val="008F34AE"/>
    <w:rsid w:val="008F3655"/>
    <w:rsid w:val="008F6C15"/>
    <w:rsid w:val="00912EBE"/>
    <w:rsid w:val="00920F40"/>
    <w:rsid w:val="00937E7F"/>
    <w:rsid w:val="0094154D"/>
    <w:rsid w:val="0094377F"/>
    <w:rsid w:val="00945AEE"/>
    <w:rsid w:val="00960D2C"/>
    <w:rsid w:val="00962867"/>
    <w:rsid w:val="00962B94"/>
    <w:rsid w:val="0096363D"/>
    <w:rsid w:val="009649DE"/>
    <w:rsid w:val="00966E3E"/>
    <w:rsid w:val="009732A5"/>
    <w:rsid w:val="00974773"/>
    <w:rsid w:val="009763CF"/>
    <w:rsid w:val="0097754E"/>
    <w:rsid w:val="00983945"/>
    <w:rsid w:val="009A7C1B"/>
    <w:rsid w:val="009B24A1"/>
    <w:rsid w:val="009B4B20"/>
    <w:rsid w:val="009B6526"/>
    <w:rsid w:val="009B7A2C"/>
    <w:rsid w:val="009C11BB"/>
    <w:rsid w:val="009C349B"/>
    <w:rsid w:val="009C4CB8"/>
    <w:rsid w:val="009C6A30"/>
    <w:rsid w:val="009D131F"/>
    <w:rsid w:val="009E0DA7"/>
    <w:rsid w:val="009E359A"/>
    <w:rsid w:val="009F09F7"/>
    <w:rsid w:val="009F2AAB"/>
    <w:rsid w:val="009F5CCA"/>
    <w:rsid w:val="009F6468"/>
    <w:rsid w:val="00A00BE4"/>
    <w:rsid w:val="00A02A71"/>
    <w:rsid w:val="00A14A70"/>
    <w:rsid w:val="00A15FA6"/>
    <w:rsid w:val="00A1693E"/>
    <w:rsid w:val="00A219FB"/>
    <w:rsid w:val="00A223FE"/>
    <w:rsid w:val="00A23FD3"/>
    <w:rsid w:val="00A27FAD"/>
    <w:rsid w:val="00A31F3A"/>
    <w:rsid w:val="00A33620"/>
    <w:rsid w:val="00A3403E"/>
    <w:rsid w:val="00A41C39"/>
    <w:rsid w:val="00A43786"/>
    <w:rsid w:val="00A46088"/>
    <w:rsid w:val="00A516D9"/>
    <w:rsid w:val="00A545EE"/>
    <w:rsid w:val="00A56C1C"/>
    <w:rsid w:val="00A60116"/>
    <w:rsid w:val="00A64B80"/>
    <w:rsid w:val="00A71B41"/>
    <w:rsid w:val="00A8286C"/>
    <w:rsid w:val="00A832A9"/>
    <w:rsid w:val="00A85D09"/>
    <w:rsid w:val="00A91A9C"/>
    <w:rsid w:val="00A9399D"/>
    <w:rsid w:val="00A9632C"/>
    <w:rsid w:val="00AA14F1"/>
    <w:rsid w:val="00AA4ABD"/>
    <w:rsid w:val="00AC2470"/>
    <w:rsid w:val="00AD2529"/>
    <w:rsid w:val="00AD3769"/>
    <w:rsid w:val="00AD6CF4"/>
    <w:rsid w:val="00AE285F"/>
    <w:rsid w:val="00AF46DB"/>
    <w:rsid w:val="00AF5F7D"/>
    <w:rsid w:val="00AF615E"/>
    <w:rsid w:val="00B01CBF"/>
    <w:rsid w:val="00B0459D"/>
    <w:rsid w:val="00B07167"/>
    <w:rsid w:val="00B179A4"/>
    <w:rsid w:val="00B21A72"/>
    <w:rsid w:val="00B2307E"/>
    <w:rsid w:val="00B33875"/>
    <w:rsid w:val="00B365A1"/>
    <w:rsid w:val="00B42971"/>
    <w:rsid w:val="00B472B4"/>
    <w:rsid w:val="00B52900"/>
    <w:rsid w:val="00B54579"/>
    <w:rsid w:val="00B55EC8"/>
    <w:rsid w:val="00B601E6"/>
    <w:rsid w:val="00B611AF"/>
    <w:rsid w:val="00B6182B"/>
    <w:rsid w:val="00B636DD"/>
    <w:rsid w:val="00B709A1"/>
    <w:rsid w:val="00B71703"/>
    <w:rsid w:val="00B76E8B"/>
    <w:rsid w:val="00B82A89"/>
    <w:rsid w:val="00B84E5C"/>
    <w:rsid w:val="00B860C5"/>
    <w:rsid w:val="00B86B81"/>
    <w:rsid w:val="00B918F8"/>
    <w:rsid w:val="00B94C19"/>
    <w:rsid w:val="00B95BED"/>
    <w:rsid w:val="00BA4606"/>
    <w:rsid w:val="00BA4D5C"/>
    <w:rsid w:val="00BC1E0C"/>
    <w:rsid w:val="00BC781C"/>
    <w:rsid w:val="00BF396B"/>
    <w:rsid w:val="00BF5059"/>
    <w:rsid w:val="00BF52FA"/>
    <w:rsid w:val="00BF57F6"/>
    <w:rsid w:val="00C0073B"/>
    <w:rsid w:val="00C10D33"/>
    <w:rsid w:val="00C12946"/>
    <w:rsid w:val="00C13451"/>
    <w:rsid w:val="00C1581A"/>
    <w:rsid w:val="00C25F37"/>
    <w:rsid w:val="00C30BAF"/>
    <w:rsid w:val="00C321D0"/>
    <w:rsid w:val="00C33C17"/>
    <w:rsid w:val="00C34F33"/>
    <w:rsid w:val="00C365F4"/>
    <w:rsid w:val="00C443AA"/>
    <w:rsid w:val="00C5249A"/>
    <w:rsid w:val="00C56C84"/>
    <w:rsid w:val="00C61651"/>
    <w:rsid w:val="00C63356"/>
    <w:rsid w:val="00C63D99"/>
    <w:rsid w:val="00C65FE4"/>
    <w:rsid w:val="00C67B05"/>
    <w:rsid w:val="00C72AD7"/>
    <w:rsid w:val="00C772DE"/>
    <w:rsid w:val="00C80D48"/>
    <w:rsid w:val="00C8188A"/>
    <w:rsid w:val="00C82F91"/>
    <w:rsid w:val="00C830D0"/>
    <w:rsid w:val="00C8354E"/>
    <w:rsid w:val="00C9455C"/>
    <w:rsid w:val="00CA06CA"/>
    <w:rsid w:val="00CB0A15"/>
    <w:rsid w:val="00CB3672"/>
    <w:rsid w:val="00CB5840"/>
    <w:rsid w:val="00CB5B63"/>
    <w:rsid w:val="00CC0986"/>
    <w:rsid w:val="00CC7AD2"/>
    <w:rsid w:val="00CD28DE"/>
    <w:rsid w:val="00CD3534"/>
    <w:rsid w:val="00CD35D6"/>
    <w:rsid w:val="00CE3A13"/>
    <w:rsid w:val="00CE54C4"/>
    <w:rsid w:val="00CF5FC5"/>
    <w:rsid w:val="00CF6FF5"/>
    <w:rsid w:val="00D02AC6"/>
    <w:rsid w:val="00D0483D"/>
    <w:rsid w:val="00D123FF"/>
    <w:rsid w:val="00D16514"/>
    <w:rsid w:val="00D25ABA"/>
    <w:rsid w:val="00D273BD"/>
    <w:rsid w:val="00D33F1F"/>
    <w:rsid w:val="00D575B4"/>
    <w:rsid w:val="00D57802"/>
    <w:rsid w:val="00D63666"/>
    <w:rsid w:val="00D64E42"/>
    <w:rsid w:val="00D70588"/>
    <w:rsid w:val="00D7083B"/>
    <w:rsid w:val="00D76039"/>
    <w:rsid w:val="00D7669B"/>
    <w:rsid w:val="00D770FA"/>
    <w:rsid w:val="00D83AC4"/>
    <w:rsid w:val="00D8534B"/>
    <w:rsid w:val="00DA6FF1"/>
    <w:rsid w:val="00DB0D02"/>
    <w:rsid w:val="00DB21B8"/>
    <w:rsid w:val="00DD4AC0"/>
    <w:rsid w:val="00DD71F8"/>
    <w:rsid w:val="00DE6DFD"/>
    <w:rsid w:val="00DE6E51"/>
    <w:rsid w:val="00DF0A21"/>
    <w:rsid w:val="00E051F5"/>
    <w:rsid w:val="00E0789D"/>
    <w:rsid w:val="00E12AD5"/>
    <w:rsid w:val="00E310CA"/>
    <w:rsid w:val="00E3271D"/>
    <w:rsid w:val="00E44C61"/>
    <w:rsid w:val="00E469EC"/>
    <w:rsid w:val="00E5070A"/>
    <w:rsid w:val="00E629F4"/>
    <w:rsid w:val="00E70744"/>
    <w:rsid w:val="00E73AD2"/>
    <w:rsid w:val="00E73D7B"/>
    <w:rsid w:val="00E8259C"/>
    <w:rsid w:val="00E90A76"/>
    <w:rsid w:val="00E917C0"/>
    <w:rsid w:val="00E9481C"/>
    <w:rsid w:val="00EA5A65"/>
    <w:rsid w:val="00EA5EEA"/>
    <w:rsid w:val="00EB0D37"/>
    <w:rsid w:val="00EC577B"/>
    <w:rsid w:val="00EC6177"/>
    <w:rsid w:val="00ED5CAB"/>
    <w:rsid w:val="00EE236B"/>
    <w:rsid w:val="00EE26A8"/>
    <w:rsid w:val="00EE6664"/>
    <w:rsid w:val="00EF440B"/>
    <w:rsid w:val="00EF71CA"/>
    <w:rsid w:val="00EF7A9A"/>
    <w:rsid w:val="00F02509"/>
    <w:rsid w:val="00F0747F"/>
    <w:rsid w:val="00F15383"/>
    <w:rsid w:val="00F17244"/>
    <w:rsid w:val="00F17E78"/>
    <w:rsid w:val="00F218C3"/>
    <w:rsid w:val="00F26801"/>
    <w:rsid w:val="00F3428B"/>
    <w:rsid w:val="00F35DE7"/>
    <w:rsid w:val="00F3636A"/>
    <w:rsid w:val="00F3798A"/>
    <w:rsid w:val="00F43497"/>
    <w:rsid w:val="00F46F6C"/>
    <w:rsid w:val="00F537A0"/>
    <w:rsid w:val="00F60EB8"/>
    <w:rsid w:val="00F6265B"/>
    <w:rsid w:val="00F63F3B"/>
    <w:rsid w:val="00F64005"/>
    <w:rsid w:val="00F703B9"/>
    <w:rsid w:val="00F7040A"/>
    <w:rsid w:val="00F74BF4"/>
    <w:rsid w:val="00F75D6B"/>
    <w:rsid w:val="00F76FB4"/>
    <w:rsid w:val="00F8018A"/>
    <w:rsid w:val="00F8330A"/>
    <w:rsid w:val="00F84A48"/>
    <w:rsid w:val="00F92B1F"/>
    <w:rsid w:val="00FA196F"/>
    <w:rsid w:val="00FA5C38"/>
    <w:rsid w:val="00FB1BDD"/>
    <w:rsid w:val="00FC4982"/>
    <w:rsid w:val="00FC5BD7"/>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15:docId w15:val="{D9C30FA3-8DE3-4081-83FF-295C09AF0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paragraph" w:styleId="af5">
    <w:name w:val="Revision"/>
    <w:hidden/>
    <w:uiPriority w:val="99"/>
    <w:semiHidden/>
    <w:rsid w:val="002668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mig-pomorie.eu/"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F3B2E-2628-4B88-9F6A-9495DB8DC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25</Pages>
  <Words>8541</Words>
  <Characters>48687</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57114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Fujitsu</cp:lastModifiedBy>
  <cp:revision>27</cp:revision>
  <cp:lastPrinted>2017-02-08T07:52:00Z</cp:lastPrinted>
  <dcterms:created xsi:type="dcterms:W3CDTF">2017-11-26T10:48:00Z</dcterms:created>
  <dcterms:modified xsi:type="dcterms:W3CDTF">2019-01-29T08:42:00Z</dcterms:modified>
</cp:coreProperties>
</file>